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5A2289" w14:textId="77777777" w:rsidR="001E667C" w:rsidRDefault="00000000">
      <w:pPr>
        <w:jc w:val="center"/>
        <w:rPr>
          <w:rFonts w:ascii="Times New Roman" w:hAnsi="Times New Roman" w:cs="Times New Roman"/>
          <w:b/>
          <w:bCs/>
          <w:sz w:val="24"/>
          <w:szCs w:val="24"/>
        </w:rPr>
      </w:pPr>
      <w:r>
        <w:rPr>
          <w:rFonts w:ascii="Times New Roman" w:hAnsi="Times New Roman" w:cs="Times New Roman"/>
          <w:b/>
          <w:bCs/>
          <w:sz w:val="24"/>
          <w:szCs w:val="24"/>
        </w:rPr>
        <w:t>ASSOCIATION POUR LA PROTECTION DU PATRIMOINE ET DE L’ENVIRONNEMENT D’ARCHIGNY</w:t>
      </w:r>
    </w:p>
    <w:p w14:paraId="41EBDA67" w14:textId="77777777" w:rsidR="001E667C" w:rsidRDefault="00000000">
      <w:pPr>
        <w:jc w:val="center"/>
        <w:rPr>
          <w:rFonts w:ascii="Times New Roman" w:hAnsi="Times New Roman" w:cs="Times New Roman"/>
          <w:b/>
          <w:bCs/>
          <w:sz w:val="24"/>
          <w:szCs w:val="24"/>
        </w:rPr>
      </w:pPr>
      <w:r>
        <w:rPr>
          <w:rFonts w:ascii="Times New Roman" w:hAnsi="Times New Roman" w:cs="Times New Roman"/>
          <w:b/>
          <w:bCs/>
          <w:sz w:val="24"/>
          <w:szCs w:val="24"/>
        </w:rPr>
        <w:t>appearchigny@gmail.com</w:t>
      </w:r>
    </w:p>
    <w:p w14:paraId="10268C32" w14:textId="77777777" w:rsidR="001E667C" w:rsidRDefault="001E667C">
      <w:pPr>
        <w:jc w:val="center"/>
        <w:rPr>
          <w:rFonts w:ascii="Times New Roman" w:hAnsi="Times New Roman" w:cs="Times New Roman"/>
          <w:b/>
          <w:bCs/>
          <w:sz w:val="24"/>
          <w:szCs w:val="24"/>
        </w:rPr>
      </w:pPr>
    </w:p>
    <w:p w14:paraId="31DD076C" w14:textId="77777777" w:rsidR="001E667C" w:rsidRDefault="001E667C">
      <w:pPr>
        <w:jc w:val="center"/>
        <w:rPr>
          <w:rFonts w:ascii="Times New Roman" w:hAnsi="Times New Roman" w:cs="Times New Roman"/>
          <w:b/>
          <w:bCs/>
          <w:sz w:val="24"/>
          <w:szCs w:val="24"/>
        </w:rPr>
      </w:pPr>
    </w:p>
    <w:p w14:paraId="077288FD" w14:textId="77777777" w:rsidR="001E667C" w:rsidRDefault="001E667C">
      <w:pPr>
        <w:jc w:val="center"/>
        <w:rPr>
          <w:rFonts w:ascii="Times New Roman" w:hAnsi="Times New Roman" w:cs="Times New Roman"/>
          <w:b/>
          <w:bCs/>
          <w:sz w:val="24"/>
          <w:szCs w:val="24"/>
        </w:rPr>
      </w:pPr>
    </w:p>
    <w:p w14:paraId="4FFE01B7" w14:textId="77777777" w:rsidR="001E667C" w:rsidRDefault="001E667C">
      <w:pPr>
        <w:jc w:val="center"/>
        <w:rPr>
          <w:rFonts w:ascii="Times New Roman" w:hAnsi="Times New Roman" w:cs="Times New Roman"/>
          <w:b/>
          <w:bCs/>
          <w:sz w:val="24"/>
          <w:szCs w:val="24"/>
        </w:rPr>
      </w:pPr>
    </w:p>
    <w:p w14:paraId="5E949EF9" w14:textId="77777777" w:rsidR="001E667C" w:rsidRDefault="001E667C">
      <w:pPr>
        <w:jc w:val="center"/>
        <w:rPr>
          <w:rFonts w:ascii="Times New Roman" w:hAnsi="Times New Roman" w:cs="Times New Roman"/>
          <w:b/>
          <w:bCs/>
          <w:sz w:val="24"/>
          <w:szCs w:val="24"/>
        </w:rPr>
      </w:pPr>
    </w:p>
    <w:p w14:paraId="06A399F7" w14:textId="77777777" w:rsidR="001E667C" w:rsidRDefault="001E667C">
      <w:pPr>
        <w:jc w:val="center"/>
        <w:rPr>
          <w:rFonts w:ascii="Times New Roman" w:hAnsi="Times New Roman" w:cs="Times New Roman"/>
          <w:b/>
          <w:bCs/>
          <w:sz w:val="24"/>
          <w:szCs w:val="24"/>
        </w:rPr>
      </w:pPr>
    </w:p>
    <w:p w14:paraId="4D565499" w14:textId="77777777" w:rsidR="001E667C" w:rsidRDefault="001E667C">
      <w:pPr>
        <w:jc w:val="center"/>
        <w:rPr>
          <w:rFonts w:ascii="Times New Roman" w:hAnsi="Times New Roman" w:cs="Times New Roman"/>
          <w:b/>
          <w:bCs/>
          <w:sz w:val="24"/>
          <w:szCs w:val="24"/>
        </w:rPr>
      </w:pPr>
    </w:p>
    <w:p w14:paraId="03F85072" w14:textId="77777777" w:rsidR="001E667C" w:rsidRDefault="001E667C">
      <w:pPr>
        <w:jc w:val="center"/>
        <w:rPr>
          <w:rFonts w:ascii="Times New Roman" w:hAnsi="Times New Roman" w:cs="Times New Roman"/>
          <w:b/>
          <w:bCs/>
          <w:sz w:val="24"/>
          <w:szCs w:val="24"/>
        </w:rPr>
      </w:pPr>
    </w:p>
    <w:p w14:paraId="6832D73D" w14:textId="77777777" w:rsidR="001E667C" w:rsidRDefault="001E667C">
      <w:pPr>
        <w:jc w:val="center"/>
        <w:rPr>
          <w:rFonts w:ascii="Times New Roman" w:hAnsi="Times New Roman" w:cs="Times New Roman"/>
          <w:b/>
          <w:bCs/>
          <w:sz w:val="32"/>
          <w:szCs w:val="32"/>
        </w:rPr>
      </w:pPr>
    </w:p>
    <w:p w14:paraId="01783759" w14:textId="77777777" w:rsidR="001E667C" w:rsidRDefault="001E667C">
      <w:pPr>
        <w:jc w:val="center"/>
        <w:rPr>
          <w:rFonts w:ascii="Times New Roman" w:hAnsi="Times New Roman" w:cs="Times New Roman"/>
          <w:b/>
          <w:bCs/>
          <w:sz w:val="32"/>
          <w:szCs w:val="32"/>
        </w:rPr>
      </w:pPr>
    </w:p>
    <w:p w14:paraId="7BF0124B" w14:textId="77777777" w:rsidR="001E667C" w:rsidRDefault="001E667C">
      <w:pPr>
        <w:pStyle w:val="Titre"/>
      </w:pPr>
    </w:p>
    <w:p w14:paraId="43FAB398" w14:textId="77777777" w:rsidR="001E667C" w:rsidRDefault="00000000">
      <w:pPr>
        <w:pStyle w:val="Titre"/>
        <w:jc w:val="center"/>
        <w:rPr>
          <w:rFonts w:ascii="Times New Roman" w:hAnsi="Times New Roman" w:cs="Times New Roman"/>
          <w:b/>
          <w:bCs/>
          <w:sz w:val="36"/>
          <w:szCs w:val="36"/>
        </w:rPr>
      </w:pPr>
      <w:r>
        <w:rPr>
          <w:rFonts w:ascii="Times New Roman" w:hAnsi="Times New Roman" w:cs="Times New Roman"/>
          <w:b/>
          <w:bCs/>
        </w:rPr>
        <w:t>Pour un PLU protecteur du Patrimoine et de l’Environnement d’Archigny</w:t>
      </w:r>
    </w:p>
    <w:p w14:paraId="03C8A643" w14:textId="77777777" w:rsidR="001E667C" w:rsidRDefault="001E667C">
      <w:pPr>
        <w:jc w:val="center"/>
        <w:rPr>
          <w:rFonts w:ascii="Times New Roman" w:hAnsi="Times New Roman" w:cs="Times New Roman"/>
          <w:b/>
          <w:bCs/>
          <w:sz w:val="24"/>
          <w:szCs w:val="24"/>
        </w:rPr>
      </w:pPr>
    </w:p>
    <w:p w14:paraId="439F1C3A" w14:textId="77777777" w:rsidR="001E667C" w:rsidRDefault="00000000">
      <w:pPr>
        <w:jc w:val="center"/>
        <w:rPr>
          <w:rFonts w:ascii="Times New Roman" w:hAnsi="Times New Roman" w:cs="Times New Roman"/>
          <w:b/>
          <w:bCs/>
          <w:sz w:val="24"/>
          <w:szCs w:val="24"/>
        </w:rPr>
      </w:pPr>
      <w:r>
        <w:rPr>
          <w:rFonts w:ascii="Times New Roman" w:hAnsi="Times New Roman" w:cs="Times New Roman"/>
          <w:b/>
          <w:bCs/>
          <w:sz w:val="24"/>
          <w:szCs w:val="24"/>
        </w:rPr>
        <w:t>Contribution à l’enquête publique</w:t>
      </w:r>
    </w:p>
    <w:p w14:paraId="4A0AA646" w14:textId="77777777" w:rsidR="001E667C" w:rsidRDefault="00000000">
      <w:pPr>
        <w:jc w:val="center"/>
        <w:rPr>
          <w:rFonts w:ascii="Times New Roman" w:hAnsi="Times New Roman" w:cs="Times New Roman"/>
          <w:b/>
          <w:bCs/>
          <w:sz w:val="24"/>
          <w:szCs w:val="24"/>
        </w:rPr>
      </w:pPr>
      <w:r>
        <w:rPr>
          <w:rFonts w:ascii="Times New Roman" w:hAnsi="Times New Roman" w:cs="Times New Roman"/>
          <w:b/>
          <w:bCs/>
          <w:sz w:val="24"/>
          <w:szCs w:val="24"/>
        </w:rPr>
        <w:t>Dossier remis à M. Le Commissaire Enquêteur le 18 novembre 2025</w:t>
      </w:r>
    </w:p>
    <w:p w14:paraId="1599B708" w14:textId="77777777" w:rsidR="001E667C" w:rsidRDefault="001E667C">
      <w:pPr>
        <w:jc w:val="center"/>
        <w:rPr>
          <w:rFonts w:ascii="Times New Roman" w:hAnsi="Times New Roman" w:cs="Times New Roman"/>
          <w:b/>
          <w:bCs/>
          <w:sz w:val="24"/>
          <w:szCs w:val="24"/>
        </w:rPr>
      </w:pPr>
    </w:p>
    <w:p w14:paraId="450F5B17" w14:textId="77777777" w:rsidR="001E667C" w:rsidRDefault="001E667C">
      <w:pPr>
        <w:jc w:val="center"/>
        <w:rPr>
          <w:rFonts w:ascii="Times New Roman" w:hAnsi="Times New Roman" w:cs="Times New Roman"/>
          <w:b/>
          <w:bCs/>
          <w:sz w:val="24"/>
          <w:szCs w:val="24"/>
        </w:rPr>
      </w:pPr>
    </w:p>
    <w:p w14:paraId="79264922" w14:textId="77777777" w:rsidR="001E667C" w:rsidRDefault="001E667C">
      <w:pPr>
        <w:jc w:val="center"/>
        <w:rPr>
          <w:rFonts w:ascii="Times New Roman" w:hAnsi="Times New Roman" w:cs="Times New Roman"/>
          <w:b/>
          <w:bCs/>
          <w:sz w:val="24"/>
          <w:szCs w:val="24"/>
        </w:rPr>
      </w:pPr>
    </w:p>
    <w:p w14:paraId="4CD09E01" w14:textId="77777777" w:rsidR="001E667C" w:rsidRDefault="001E667C">
      <w:pPr>
        <w:jc w:val="center"/>
        <w:rPr>
          <w:rFonts w:ascii="Times New Roman" w:hAnsi="Times New Roman" w:cs="Times New Roman"/>
          <w:b/>
          <w:bCs/>
          <w:sz w:val="24"/>
          <w:szCs w:val="24"/>
        </w:rPr>
      </w:pPr>
    </w:p>
    <w:p w14:paraId="7A4A618E" w14:textId="77777777" w:rsidR="001E667C" w:rsidRDefault="001E667C">
      <w:pPr>
        <w:jc w:val="center"/>
        <w:rPr>
          <w:rFonts w:ascii="Times New Roman" w:hAnsi="Times New Roman" w:cs="Times New Roman"/>
          <w:b/>
          <w:bCs/>
          <w:sz w:val="24"/>
          <w:szCs w:val="24"/>
        </w:rPr>
      </w:pPr>
    </w:p>
    <w:p w14:paraId="128D7295" w14:textId="77777777" w:rsidR="001E667C" w:rsidRDefault="001E667C">
      <w:pPr>
        <w:jc w:val="center"/>
        <w:rPr>
          <w:rFonts w:ascii="Times New Roman" w:hAnsi="Times New Roman" w:cs="Times New Roman"/>
          <w:b/>
          <w:bCs/>
          <w:sz w:val="24"/>
          <w:szCs w:val="24"/>
        </w:rPr>
      </w:pPr>
    </w:p>
    <w:p w14:paraId="57718A7B" w14:textId="77777777" w:rsidR="001E667C" w:rsidRDefault="001E667C">
      <w:pPr>
        <w:jc w:val="center"/>
        <w:rPr>
          <w:rFonts w:ascii="Times New Roman" w:hAnsi="Times New Roman" w:cs="Times New Roman"/>
          <w:b/>
          <w:bCs/>
          <w:sz w:val="24"/>
          <w:szCs w:val="24"/>
        </w:rPr>
      </w:pPr>
    </w:p>
    <w:p w14:paraId="39DA6E0C" w14:textId="77777777" w:rsidR="001E667C" w:rsidRDefault="001E667C">
      <w:pPr>
        <w:jc w:val="center"/>
        <w:rPr>
          <w:rFonts w:ascii="Times New Roman" w:hAnsi="Times New Roman" w:cs="Times New Roman"/>
          <w:b/>
          <w:bCs/>
          <w:sz w:val="24"/>
          <w:szCs w:val="24"/>
        </w:rPr>
      </w:pPr>
    </w:p>
    <w:p w14:paraId="0BBC8247" w14:textId="77777777" w:rsidR="001E667C" w:rsidRDefault="001E667C">
      <w:pPr>
        <w:jc w:val="center"/>
        <w:rPr>
          <w:rFonts w:ascii="Times New Roman" w:hAnsi="Times New Roman" w:cs="Times New Roman"/>
          <w:b/>
          <w:bCs/>
          <w:sz w:val="24"/>
          <w:szCs w:val="24"/>
        </w:rPr>
      </w:pPr>
    </w:p>
    <w:p w14:paraId="59DE8EF2" w14:textId="77777777" w:rsidR="001E667C" w:rsidRDefault="001E667C">
      <w:pPr>
        <w:jc w:val="center"/>
        <w:rPr>
          <w:rFonts w:ascii="Times New Roman" w:hAnsi="Times New Roman" w:cs="Times New Roman"/>
          <w:b/>
          <w:bCs/>
          <w:sz w:val="24"/>
          <w:szCs w:val="24"/>
        </w:rPr>
      </w:pPr>
    </w:p>
    <w:sdt>
      <w:sdtPr>
        <w:rPr>
          <w:rFonts w:asciiTheme="minorHAnsi" w:eastAsiaTheme="minorHAnsi" w:hAnsiTheme="minorHAnsi" w:cs="Lucida Sans"/>
          <w:b w:val="0"/>
          <w:bCs w:val="0"/>
          <w:spacing w:val="0"/>
          <w:sz w:val="22"/>
          <w:szCs w:val="22"/>
        </w:rPr>
        <w:id w:val="84812409"/>
        <w:docPartObj>
          <w:docPartGallery w:val="Table of Contents"/>
          <w:docPartUnique/>
        </w:docPartObj>
      </w:sdtPr>
      <w:sdtContent>
        <w:p w14:paraId="4A1EB9BF" w14:textId="77777777" w:rsidR="001E667C" w:rsidRPr="00DD6EFB" w:rsidRDefault="00000000" w:rsidP="00480C81">
          <w:pPr>
            <w:pStyle w:val="En-ttedetabledesmatires"/>
            <w:jc w:val="center"/>
          </w:pPr>
          <w:r w:rsidRPr="00480C81">
            <w:t>Table des matières</w:t>
          </w:r>
          <w:r w:rsidRPr="00480C81">
            <w:br/>
          </w:r>
        </w:p>
        <w:p w14:paraId="17C8BA71" w14:textId="77777777" w:rsidR="001E667C" w:rsidRDefault="001E667C">
          <w:pPr>
            <w:pStyle w:val="TM2"/>
            <w:tabs>
              <w:tab w:val="clear" w:pos="8789"/>
              <w:tab w:val="right" w:leader="dot" w:pos="9071"/>
            </w:tabs>
          </w:pPr>
          <w:r>
            <w:fldChar w:fldCharType="begin"/>
          </w:r>
          <w:r w:rsidR="00000000">
            <w:rPr>
              <w:rStyle w:val="Sautdindex"/>
            </w:rPr>
            <w:instrText xml:space="preserve"> TOC \f \o "1-9" \h</w:instrText>
          </w:r>
          <w:r>
            <w:rPr>
              <w:rStyle w:val="Sautdindex"/>
            </w:rPr>
            <w:fldChar w:fldCharType="separate"/>
          </w:r>
          <w:hyperlink w:anchor="__RefHeading___Toc548_1806733993">
            <w:r>
              <w:rPr>
                <w:rStyle w:val="Sautdindex"/>
              </w:rPr>
              <w:t>1 Un projet de PLU qui n’encadre pas suffisamment le développement de grands programmes EnR, notamment éoliens.</w:t>
            </w:r>
            <w:r>
              <w:rPr>
                <w:rStyle w:val="Sautdindex"/>
              </w:rPr>
              <w:tab/>
              <w:t>4</w:t>
            </w:r>
          </w:hyperlink>
        </w:p>
        <w:p w14:paraId="0AA543AA" w14:textId="77777777" w:rsidR="001E667C" w:rsidRDefault="001E667C">
          <w:pPr>
            <w:pStyle w:val="TM3"/>
            <w:tabs>
              <w:tab w:val="clear" w:pos="8505"/>
              <w:tab w:val="right" w:leader="dot" w:pos="9071"/>
            </w:tabs>
          </w:pPr>
          <w:hyperlink w:anchor="__RefHeading___Toc550_1806733993">
            <w:r>
              <w:rPr>
                <w:rStyle w:val="Sautdindex"/>
              </w:rPr>
              <w:t>1,1 Le développement éolien : une acceptation sociale et locale de plus en plus difficile</w:t>
            </w:r>
            <w:r>
              <w:rPr>
                <w:rStyle w:val="Sautdindex"/>
              </w:rPr>
              <w:tab/>
              <w:t>4</w:t>
            </w:r>
          </w:hyperlink>
        </w:p>
        <w:p w14:paraId="01219698" w14:textId="77777777" w:rsidR="001E667C" w:rsidRDefault="001E667C">
          <w:pPr>
            <w:pStyle w:val="TM3"/>
            <w:tabs>
              <w:tab w:val="clear" w:pos="8505"/>
              <w:tab w:val="right" w:leader="dot" w:pos="9071"/>
            </w:tabs>
          </w:pPr>
          <w:hyperlink w:anchor="__RefHeading___Toc552_1806733993">
            <w:r>
              <w:rPr>
                <w:rStyle w:val="Sautdindex"/>
              </w:rPr>
              <w:t>1. 2 Un projet de PLU imprécis et insuffisamment protecteur</w:t>
            </w:r>
            <w:r>
              <w:rPr>
                <w:rStyle w:val="Sautdindex"/>
              </w:rPr>
              <w:tab/>
              <w:t>5</w:t>
            </w:r>
          </w:hyperlink>
        </w:p>
        <w:p w14:paraId="009B03CA" w14:textId="77777777" w:rsidR="001E667C" w:rsidRDefault="001E667C">
          <w:pPr>
            <w:pStyle w:val="TM2"/>
            <w:tabs>
              <w:tab w:val="clear" w:pos="8789"/>
              <w:tab w:val="right" w:leader="dot" w:pos="9071"/>
            </w:tabs>
          </w:pPr>
          <w:hyperlink w:anchor="__RefHeading___Toc554_1806733993">
            <w:r>
              <w:rPr>
                <w:rStyle w:val="Sautdindex"/>
              </w:rPr>
              <w:t>2 Une Zone Naturelle d’Intérêt Faunistique et Floral particulièrement menacée : les Brandes de la Nivoire et des Tireaux.</w:t>
            </w:r>
            <w:r>
              <w:rPr>
                <w:rStyle w:val="Sautdindex"/>
              </w:rPr>
              <w:tab/>
              <w:t>8</w:t>
            </w:r>
          </w:hyperlink>
        </w:p>
        <w:p w14:paraId="55ED0332" w14:textId="77777777" w:rsidR="001E667C" w:rsidRDefault="001E667C">
          <w:pPr>
            <w:pStyle w:val="TM3"/>
            <w:tabs>
              <w:tab w:val="clear" w:pos="8505"/>
              <w:tab w:val="right" w:leader="dot" w:pos="9071"/>
            </w:tabs>
          </w:pPr>
          <w:hyperlink w:anchor="__RefHeading___Toc556_1806733993">
            <w:r>
              <w:rPr>
                <w:rStyle w:val="Sautdindex"/>
              </w:rPr>
              <w:t>2.1 Présentation de la ZNIEFF des Brandes de la Nivoire et des Tireaux</w:t>
            </w:r>
            <w:r>
              <w:rPr>
                <w:rStyle w:val="Sautdindex"/>
              </w:rPr>
              <w:tab/>
              <w:t>8</w:t>
            </w:r>
          </w:hyperlink>
        </w:p>
        <w:p w14:paraId="00A07DF4" w14:textId="77777777" w:rsidR="001E667C" w:rsidRDefault="001E667C">
          <w:pPr>
            <w:pStyle w:val="TM3"/>
            <w:tabs>
              <w:tab w:val="clear" w:pos="8505"/>
              <w:tab w:val="right" w:leader="dot" w:pos="9071"/>
            </w:tabs>
          </w:pPr>
          <w:hyperlink w:anchor="__RefHeading___Toc558_1806733993">
            <w:r>
              <w:rPr>
                <w:rStyle w:val="Sautdindex"/>
              </w:rPr>
              <w:t>2.2 Une protection de la ZNIEFF en cohérence avec l’OAP thématique « trame verte et bleue et continuité écologique » du projet de PLU</w:t>
            </w:r>
            <w:r>
              <w:rPr>
                <w:rStyle w:val="Sautdindex"/>
              </w:rPr>
              <w:tab/>
              <w:t>9</w:t>
            </w:r>
          </w:hyperlink>
        </w:p>
        <w:p w14:paraId="280CAA45" w14:textId="77777777" w:rsidR="001E667C" w:rsidRDefault="001E667C">
          <w:pPr>
            <w:pStyle w:val="TM2"/>
            <w:tabs>
              <w:tab w:val="clear" w:pos="8789"/>
              <w:tab w:val="right" w:leader="dot" w:pos="9071"/>
            </w:tabs>
          </w:pPr>
          <w:hyperlink w:anchor="__RefHeading___Toc560_1806733993">
            <w:r>
              <w:rPr>
                <w:rStyle w:val="Sautdindex"/>
              </w:rPr>
              <w:t>3 Un projet de PLU établi sans réelle concertation avec les habitants d’Archigny</w:t>
            </w:r>
            <w:r>
              <w:rPr>
                <w:rStyle w:val="Sautdindex"/>
              </w:rPr>
              <w:tab/>
              <w:t>10</w:t>
            </w:r>
          </w:hyperlink>
        </w:p>
        <w:p w14:paraId="08ECEE7D" w14:textId="77777777" w:rsidR="001E667C" w:rsidRDefault="001E667C">
          <w:pPr>
            <w:pStyle w:val="TM3"/>
            <w:tabs>
              <w:tab w:val="clear" w:pos="8505"/>
              <w:tab w:val="right" w:leader="dot" w:pos="9071"/>
            </w:tabs>
          </w:pPr>
          <w:hyperlink w:anchor="__RefHeading___Toc562_1806733993">
            <w:r>
              <w:rPr>
                <w:rStyle w:val="Sautdindex"/>
              </w:rPr>
              <w:t>3.1 Les porteurs du projet : entre revirement de position et refus de communication</w:t>
            </w:r>
            <w:r>
              <w:rPr>
                <w:rStyle w:val="Sautdindex"/>
              </w:rPr>
              <w:tab/>
              <w:t>10</w:t>
            </w:r>
          </w:hyperlink>
        </w:p>
        <w:p w14:paraId="0485F317" w14:textId="77777777" w:rsidR="001E667C" w:rsidRDefault="001E667C">
          <w:pPr>
            <w:pStyle w:val="TM3"/>
            <w:tabs>
              <w:tab w:val="clear" w:pos="8505"/>
              <w:tab w:val="right" w:leader="dot" w:pos="9071"/>
            </w:tabs>
          </w:pPr>
          <w:hyperlink w:anchor="__RefHeading___Toc564_1806733993">
            <w:r>
              <w:rPr>
                <w:rStyle w:val="Sautdindex"/>
              </w:rPr>
              <w:t>3.2 Le cabinet Auddicé : simple assistance ou conseils partisans ?</w:t>
            </w:r>
            <w:r>
              <w:rPr>
                <w:rStyle w:val="Sautdindex"/>
              </w:rPr>
              <w:tab/>
              <w:t>11</w:t>
            </w:r>
          </w:hyperlink>
        </w:p>
        <w:p w14:paraId="21CB61A2" w14:textId="77777777" w:rsidR="001E667C" w:rsidRDefault="001E667C">
          <w:pPr>
            <w:pStyle w:val="TM4"/>
            <w:tabs>
              <w:tab w:val="clear" w:pos="8222"/>
              <w:tab w:val="right" w:leader="dot" w:pos="9071"/>
            </w:tabs>
          </w:pPr>
          <w:hyperlink w:anchor="__RefHeading___Toc651_1806733993">
            <w:r>
              <w:rPr>
                <w:rStyle w:val="Sautdindex"/>
              </w:rPr>
              <w:t>Annexe 1A Fiche de Présentation de la ZNIEFF des Brandes des Nivoires et des brandes des Tireaux</w:t>
            </w:r>
            <w:r>
              <w:rPr>
                <w:rStyle w:val="Sautdindex"/>
              </w:rPr>
              <w:tab/>
              <w:t>16</w:t>
            </w:r>
          </w:hyperlink>
        </w:p>
        <w:p w14:paraId="126D3C63" w14:textId="6A977CF6" w:rsidR="001E667C" w:rsidRDefault="001E667C">
          <w:pPr>
            <w:pStyle w:val="TM4"/>
            <w:tabs>
              <w:tab w:val="clear" w:pos="8222"/>
              <w:tab w:val="right" w:leader="dot" w:pos="9071"/>
            </w:tabs>
          </w:pPr>
          <w:hyperlink w:anchor="__RefHeading___Toc804_1806733993">
            <w:r>
              <w:rPr>
                <w:rStyle w:val="Sautdindex"/>
              </w:rPr>
              <w:t>Annexe 1b Carte de la ZNIEFF des Brandes des Nivoire et des brandes des Tireaux</w:t>
            </w:r>
            <w:r>
              <w:rPr>
                <w:rStyle w:val="Sautdindex"/>
              </w:rPr>
              <w:tab/>
              <w:t>27</w:t>
            </w:r>
          </w:hyperlink>
        </w:p>
        <w:p w14:paraId="03B26A76" w14:textId="77777777" w:rsidR="001E667C" w:rsidRDefault="001E667C">
          <w:pPr>
            <w:pStyle w:val="TM4"/>
            <w:tabs>
              <w:tab w:val="clear" w:pos="8222"/>
              <w:tab w:val="right" w:leader="dot" w:pos="9071"/>
            </w:tabs>
          </w:pPr>
          <w:hyperlink w:anchor="__RefHeading___Toc806_1806733993">
            <w:r>
              <w:rPr>
                <w:rStyle w:val="Sautdindex"/>
              </w:rPr>
              <w:t>Annexe 2</w:t>
            </w:r>
            <w:r>
              <w:rPr>
                <w:rStyle w:val="Sautdindex"/>
              </w:rPr>
              <w:tab/>
              <w:t>28</w:t>
            </w:r>
          </w:hyperlink>
        </w:p>
        <w:p w14:paraId="6EAAED72" w14:textId="77777777" w:rsidR="001E667C" w:rsidRDefault="001E667C">
          <w:pPr>
            <w:pStyle w:val="TM4"/>
            <w:tabs>
              <w:tab w:val="clear" w:pos="8222"/>
              <w:tab w:val="right" w:leader="dot" w:pos="9071"/>
            </w:tabs>
          </w:pPr>
          <w:hyperlink w:anchor="__RefHeading___Toc808_1806733993">
            <w:r>
              <w:rPr>
                <w:rStyle w:val="Sautdindex"/>
              </w:rPr>
              <w:t>Annexe 3</w:t>
            </w:r>
            <w:r>
              <w:rPr>
                <w:rStyle w:val="Sautdindex"/>
              </w:rPr>
              <w:tab/>
              <w:t>33</w:t>
            </w:r>
          </w:hyperlink>
        </w:p>
        <w:p w14:paraId="2E6415EE" w14:textId="77777777" w:rsidR="001E667C" w:rsidRDefault="001E667C">
          <w:pPr>
            <w:pStyle w:val="TM4"/>
            <w:tabs>
              <w:tab w:val="clear" w:pos="8222"/>
              <w:tab w:val="right" w:leader="dot" w:pos="9071"/>
            </w:tabs>
          </w:pPr>
          <w:hyperlink w:anchor="__RefHeading___Toc810_1806733993">
            <w:r>
              <w:rPr>
                <w:rStyle w:val="Sautdindex"/>
              </w:rPr>
              <w:t>Annexe 4</w:t>
            </w:r>
            <w:r>
              <w:rPr>
                <w:rStyle w:val="Sautdindex"/>
              </w:rPr>
              <w:tab/>
              <w:t>36</w:t>
            </w:r>
          </w:hyperlink>
        </w:p>
        <w:p w14:paraId="50AA0FB8" w14:textId="77777777" w:rsidR="001E667C" w:rsidRDefault="001E667C">
          <w:pPr>
            <w:pStyle w:val="TM4"/>
            <w:tabs>
              <w:tab w:val="clear" w:pos="8222"/>
              <w:tab w:val="right" w:leader="dot" w:pos="9071"/>
            </w:tabs>
          </w:pPr>
          <w:hyperlink w:anchor="__RefHeading___Toc812_1806733993">
            <w:r>
              <w:rPr>
                <w:rStyle w:val="Sautdindex"/>
              </w:rPr>
              <w:t>Annexe 5A</w:t>
            </w:r>
            <w:r>
              <w:rPr>
                <w:rStyle w:val="Sautdindex"/>
              </w:rPr>
              <w:tab/>
              <w:t>37</w:t>
            </w:r>
          </w:hyperlink>
        </w:p>
        <w:p w14:paraId="2729F1E4" w14:textId="77777777" w:rsidR="001E667C" w:rsidRDefault="001E667C">
          <w:pPr>
            <w:pStyle w:val="TM4"/>
            <w:tabs>
              <w:tab w:val="clear" w:pos="8222"/>
              <w:tab w:val="right" w:leader="dot" w:pos="9071"/>
            </w:tabs>
          </w:pPr>
          <w:hyperlink w:anchor="__RefHeading___Toc814_1806733993">
            <w:r>
              <w:rPr>
                <w:rStyle w:val="Sautdindex"/>
              </w:rPr>
              <w:t>Annexe 5B</w:t>
            </w:r>
            <w:r>
              <w:rPr>
                <w:rStyle w:val="Sautdindex"/>
              </w:rPr>
              <w:tab/>
              <w:t>38</w:t>
            </w:r>
          </w:hyperlink>
          <w:r>
            <w:rPr>
              <w:rStyle w:val="Sautdindex"/>
            </w:rPr>
            <w:fldChar w:fldCharType="end"/>
          </w:r>
        </w:p>
      </w:sdtContent>
    </w:sdt>
    <w:p w14:paraId="0F318ED3" w14:textId="77777777" w:rsidR="001E667C" w:rsidRDefault="00000000">
      <w:pPr>
        <w:jc w:val="both"/>
        <w:rPr>
          <w:rFonts w:ascii="Times New Roman" w:hAnsi="Times New Roman" w:cs="Times New Roman"/>
          <w:sz w:val="24"/>
          <w:szCs w:val="24"/>
        </w:rPr>
      </w:pPr>
      <w:r>
        <w:br w:type="page"/>
      </w:r>
    </w:p>
    <w:p w14:paraId="7B40E3B4" w14:textId="77777777" w:rsidR="001E667C" w:rsidRDefault="001E667C">
      <w:pPr>
        <w:jc w:val="both"/>
        <w:rPr>
          <w:rFonts w:ascii="Times New Roman" w:hAnsi="Times New Roman" w:cs="Times New Roman"/>
          <w:b/>
          <w:bCs/>
          <w:sz w:val="24"/>
          <w:szCs w:val="24"/>
        </w:rPr>
      </w:pPr>
    </w:p>
    <w:p w14:paraId="036C734B" w14:textId="77777777" w:rsidR="001E667C" w:rsidRDefault="001E667C">
      <w:pPr>
        <w:jc w:val="both"/>
        <w:rPr>
          <w:rFonts w:ascii="Times New Roman" w:hAnsi="Times New Roman" w:cs="Times New Roman"/>
          <w:b/>
          <w:bCs/>
          <w:sz w:val="24"/>
          <w:szCs w:val="24"/>
        </w:rPr>
      </w:pPr>
    </w:p>
    <w:p w14:paraId="728FC44F" w14:textId="77777777" w:rsidR="001E667C" w:rsidRDefault="001E667C">
      <w:pPr>
        <w:jc w:val="both"/>
        <w:rPr>
          <w:rFonts w:ascii="Times New Roman" w:hAnsi="Times New Roman" w:cs="Times New Roman"/>
          <w:b/>
          <w:bCs/>
          <w:sz w:val="24"/>
          <w:szCs w:val="24"/>
        </w:rPr>
      </w:pPr>
    </w:p>
    <w:p w14:paraId="106AF028" w14:textId="77777777" w:rsidR="001E667C" w:rsidRDefault="001E667C">
      <w:pPr>
        <w:jc w:val="both"/>
        <w:rPr>
          <w:rFonts w:ascii="Times New Roman" w:hAnsi="Times New Roman" w:cs="Times New Roman"/>
          <w:b/>
          <w:bCs/>
          <w:sz w:val="24"/>
          <w:szCs w:val="24"/>
        </w:rPr>
      </w:pPr>
    </w:p>
    <w:p w14:paraId="718BDFE8" w14:textId="77777777" w:rsidR="001E667C" w:rsidRDefault="001E667C">
      <w:pPr>
        <w:jc w:val="both"/>
        <w:rPr>
          <w:rFonts w:ascii="Times New Roman" w:hAnsi="Times New Roman" w:cs="Times New Roman"/>
          <w:b/>
          <w:bCs/>
          <w:sz w:val="24"/>
          <w:szCs w:val="24"/>
        </w:rPr>
      </w:pPr>
    </w:p>
    <w:p w14:paraId="1E19BC06" w14:textId="77777777" w:rsidR="001E667C" w:rsidRDefault="001E667C">
      <w:pPr>
        <w:jc w:val="both"/>
        <w:rPr>
          <w:rFonts w:ascii="Times New Roman" w:hAnsi="Times New Roman" w:cs="Times New Roman"/>
          <w:b/>
          <w:bCs/>
          <w:sz w:val="24"/>
          <w:szCs w:val="24"/>
        </w:rPr>
      </w:pPr>
    </w:p>
    <w:p w14:paraId="5C4EE5A7" w14:textId="77777777" w:rsidR="001E667C" w:rsidRDefault="00000000">
      <w:pPr>
        <w:jc w:val="both"/>
        <w:rPr>
          <w:rFonts w:ascii="Times New Roman" w:hAnsi="Times New Roman" w:cs="Times New Roman"/>
          <w:sz w:val="24"/>
          <w:szCs w:val="24"/>
        </w:rPr>
      </w:pPr>
      <w:r>
        <w:rPr>
          <w:rFonts w:ascii="Times New Roman" w:hAnsi="Times New Roman" w:cs="Times New Roman"/>
          <w:b/>
          <w:bCs/>
          <w:sz w:val="24"/>
          <w:szCs w:val="24"/>
        </w:rPr>
        <w:t>L’Association pour la Protection du Patrimoine et de l’Environnement d’Archigny,</w:t>
      </w:r>
      <w:r>
        <w:rPr>
          <w:rFonts w:ascii="Times New Roman" w:hAnsi="Times New Roman" w:cs="Times New Roman"/>
          <w:sz w:val="24"/>
          <w:szCs w:val="24"/>
        </w:rPr>
        <w:t xml:space="preserve"> créée le 5 novembre 2024 a pour objet </w:t>
      </w:r>
      <w:r>
        <w:rPr>
          <w:rFonts w:ascii="Times New Roman" w:hAnsi="Times New Roman" w:cs="Times New Roman"/>
          <w:i/>
          <w:iCs/>
          <w:sz w:val="24"/>
          <w:szCs w:val="24"/>
        </w:rPr>
        <w:t>« la sauvegarde du paysage, du patrimoine naturel, du patrimoine bâti, du patrimoine historique et de la qualité de vie des habitants de la commune d’Archigny et des communes limitrophes en luttant contre les projets d’installations industrielles impactantes, notamment éoliens ».</w:t>
      </w:r>
      <w:r>
        <w:rPr>
          <w:rFonts w:ascii="Times New Roman" w:hAnsi="Times New Roman" w:cs="Times New Roman"/>
          <w:sz w:val="24"/>
          <w:szCs w:val="24"/>
        </w:rPr>
        <w:t xml:space="preserve"> </w:t>
      </w:r>
    </w:p>
    <w:p w14:paraId="59CD2FB4"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 xml:space="preserve">Elle est donc directement concernée par la révision du PLU d’Archigny et souhaite transmettre au commissaire enquêteur trois principales réserves : </w:t>
      </w:r>
    </w:p>
    <w:p w14:paraId="2FABE5C8" w14:textId="77777777" w:rsidR="001E667C" w:rsidRDefault="001E667C">
      <w:pPr>
        <w:jc w:val="both"/>
        <w:rPr>
          <w:rFonts w:ascii="Times New Roman" w:hAnsi="Times New Roman" w:cs="Times New Roman"/>
          <w:sz w:val="24"/>
          <w:szCs w:val="24"/>
        </w:rPr>
      </w:pPr>
    </w:p>
    <w:p w14:paraId="709AF7E1" w14:textId="77777777" w:rsidR="001E667C" w:rsidRDefault="00000000">
      <w:pPr>
        <w:pStyle w:val="Paragraphedeliste"/>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Ce projet n’encadre pas suffisamment le développement des grands programmes liés aux énergies renouvelables (dénommés « projets </w:t>
      </w:r>
      <w:proofErr w:type="spellStart"/>
      <w:r>
        <w:rPr>
          <w:rFonts w:ascii="Times New Roman" w:hAnsi="Times New Roman" w:cs="Times New Roman"/>
          <w:sz w:val="24"/>
          <w:szCs w:val="24"/>
        </w:rPr>
        <w:t>EnR</w:t>
      </w:r>
      <w:proofErr w:type="spellEnd"/>
      <w:r>
        <w:rPr>
          <w:rFonts w:ascii="Times New Roman" w:hAnsi="Times New Roman" w:cs="Times New Roman"/>
          <w:sz w:val="24"/>
          <w:szCs w:val="24"/>
        </w:rPr>
        <w:t> » dans ce qui suit) sur le territoire de la commune.</w:t>
      </w:r>
    </w:p>
    <w:p w14:paraId="042464DC" w14:textId="77777777" w:rsidR="001E667C" w:rsidRDefault="001E667C">
      <w:pPr>
        <w:pStyle w:val="Paragraphedeliste"/>
        <w:jc w:val="both"/>
        <w:rPr>
          <w:rFonts w:ascii="Times New Roman" w:hAnsi="Times New Roman" w:cs="Times New Roman"/>
          <w:sz w:val="24"/>
          <w:szCs w:val="24"/>
        </w:rPr>
      </w:pPr>
    </w:p>
    <w:p w14:paraId="033DF19D" w14:textId="77777777" w:rsidR="001E667C" w:rsidRDefault="00000000">
      <w:pPr>
        <w:pStyle w:val="Paragraphedeliste"/>
        <w:numPr>
          <w:ilvl w:val="0"/>
          <w:numId w:val="1"/>
        </w:numPr>
        <w:jc w:val="both"/>
        <w:rPr>
          <w:rFonts w:ascii="Times New Roman" w:hAnsi="Times New Roman" w:cs="Times New Roman"/>
          <w:sz w:val="24"/>
          <w:szCs w:val="24"/>
        </w:rPr>
      </w:pPr>
      <w:r>
        <w:rPr>
          <w:rFonts w:ascii="Times New Roman" w:hAnsi="Times New Roman" w:cs="Times New Roman"/>
          <w:sz w:val="24"/>
          <w:szCs w:val="24"/>
        </w:rPr>
        <w:t>Il donne ainsi une grande latitude aux promoteurs pour développer leurs projets y compris dans des zones pourtant sensibles du point de vue naturel et/ou patrimonial comme c’est le cas pour la ZNIEFF des Brandes de la Nivoire et des Tireaux.</w:t>
      </w:r>
    </w:p>
    <w:p w14:paraId="7A6AD585" w14:textId="77777777" w:rsidR="001E667C" w:rsidRDefault="001E667C">
      <w:pPr>
        <w:pStyle w:val="Paragraphedeliste"/>
        <w:jc w:val="both"/>
        <w:rPr>
          <w:rFonts w:ascii="Times New Roman" w:hAnsi="Times New Roman" w:cs="Times New Roman"/>
          <w:sz w:val="24"/>
          <w:szCs w:val="24"/>
        </w:rPr>
      </w:pPr>
    </w:p>
    <w:p w14:paraId="6F8E4614" w14:textId="77777777" w:rsidR="001E667C" w:rsidRDefault="00000000">
      <w:pPr>
        <w:pStyle w:val="Paragraphedeliste"/>
        <w:numPr>
          <w:ilvl w:val="0"/>
          <w:numId w:val="1"/>
        </w:numPr>
        <w:jc w:val="both"/>
        <w:rPr>
          <w:rFonts w:ascii="Times New Roman" w:hAnsi="Times New Roman" w:cs="Times New Roman"/>
          <w:sz w:val="24"/>
          <w:szCs w:val="24"/>
        </w:rPr>
      </w:pPr>
      <w:r>
        <w:rPr>
          <w:rFonts w:ascii="Times New Roman" w:hAnsi="Times New Roman" w:cs="Times New Roman"/>
          <w:sz w:val="24"/>
          <w:szCs w:val="24"/>
        </w:rPr>
        <w:t>Il est enfin le résultat d’un manque de concertation et d’un certain parti pris le rendant difficilement appropriable par les habitants d’Archigny.</w:t>
      </w:r>
    </w:p>
    <w:p w14:paraId="40235A49" w14:textId="77777777" w:rsidR="001E667C" w:rsidRDefault="001E667C">
      <w:pPr>
        <w:pStyle w:val="Paragraphedeliste"/>
        <w:rPr>
          <w:rFonts w:ascii="Times New Roman" w:hAnsi="Times New Roman" w:cs="Times New Roman"/>
          <w:sz w:val="24"/>
          <w:szCs w:val="24"/>
        </w:rPr>
      </w:pPr>
    </w:p>
    <w:p w14:paraId="274B8773" w14:textId="77777777" w:rsidR="001E667C" w:rsidRDefault="00000000">
      <w:pPr>
        <w:tabs>
          <w:tab w:val="left" w:pos="7813"/>
        </w:tabs>
        <w:jc w:val="both"/>
        <w:rPr>
          <w:rFonts w:ascii="Times New Roman" w:hAnsi="Times New Roman" w:cs="Times New Roman"/>
          <w:sz w:val="24"/>
          <w:szCs w:val="24"/>
        </w:rPr>
      </w:pPr>
      <w:r>
        <w:rPr>
          <w:rFonts w:ascii="Times New Roman" w:hAnsi="Times New Roman" w:cs="Times New Roman"/>
          <w:sz w:val="24"/>
          <w:szCs w:val="24"/>
        </w:rPr>
        <w:t>Dans ce qui suit, nous accompagnons ces réserves de propositions de modifications du projet de PLU visant à mieux protéger le patrimoine et l’environnement de la commune d’Archigny.</w:t>
      </w:r>
    </w:p>
    <w:p w14:paraId="179813F5" w14:textId="77777777" w:rsidR="001E667C" w:rsidRDefault="001E667C">
      <w:pPr>
        <w:pStyle w:val="Paragraphedeliste"/>
        <w:jc w:val="both"/>
        <w:rPr>
          <w:rFonts w:ascii="Times New Roman" w:hAnsi="Times New Roman" w:cs="Times New Roman"/>
          <w:sz w:val="24"/>
          <w:szCs w:val="24"/>
        </w:rPr>
      </w:pPr>
    </w:p>
    <w:p w14:paraId="404254ED" w14:textId="77777777" w:rsidR="001E667C" w:rsidRDefault="001E667C">
      <w:pPr>
        <w:pStyle w:val="Paragraphedeliste"/>
        <w:jc w:val="both"/>
        <w:rPr>
          <w:rFonts w:ascii="Times New Roman" w:hAnsi="Times New Roman" w:cs="Times New Roman"/>
          <w:sz w:val="24"/>
          <w:szCs w:val="24"/>
        </w:rPr>
      </w:pPr>
    </w:p>
    <w:p w14:paraId="4BC0E768" w14:textId="77777777" w:rsidR="001E667C" w:rsidRDefault="00000000">
      <w:pPr>
        <w:pStyle w:val="Titre2"/>
      </w:pPr>
      <w:r>
        <w:br w:type="page"/>
      </w:r>
    </w:p>
    <w:p w14:paraId="427A5C6B" w14:textId="77777777" w:rsidR="001E667C" w:rsidRDefault="00000000">
      <w:pPr>
        <w:pStyle w:val="Titre2"/>
        <w:spacing w:before="0"/>
      </w:pPr>
      <w:bookmarkStart w:id="0" w:name="__RefHeading___Toc548_1806733993"/>
      <w:bookmarkStart w:id="1" w:name="_Toc213868209"/>
      <w:bookmarkEnd w:id="0"/>
      <w:r>
        <w:lastRenderedPageBreak/>
        <w:t xml:space="preserve">1 Un projet de PLU qui n’encadre pas suffisamment le développement de grands programmes </w:t>
      </w:r>
      <w:proofErr w:type="spellStart"/>
      <w:r>
        <w:t>EnR</w:t>
      </w:r>
      <w:proofErr w:type="spellEnd"/>
      <w:r>
        <w:t>, notamment éoliens.</w:t>
      </w:r>
      <w:bookmarkEnd w:id="1"/>
    </w:p>
    <w:p w14:paraId="6B385454" w14:textId="77777777" w:rsidR="001E667C" w:rsidRDefault="001E667C">
      <w:pPr>
        <w:ind w:left="720"/>
        <w:rPr>
          <w:rFonts w:ascii="Times New Roman" w:hAnsi="Times New Roman" w:cs="Times New Roman"/>
          <w:b/>
          <w:bCs/>
          <w:sz w:val="24"/>
          <w:szCs w:val="24"/>
        </w:rPr>
      </w:pPr>
    </w:p>
    <w:p w14:paraId="6B080416" w14:textId="77777777" w:rsidR="001E667C" w:rsidRDefault="00000000">
      <w:pPr>
        <w:pStyle w:val="Titre3"/>
      </w:pPr>
      <w:bookmarkStart w:id="2" w:name="__RefHeading___Toc550_1806733993"/>
      <w:bookmarkStart w:id="3" w:name="_Toc213868210"/>
      <w:bookmarkEnd w:id="2"/>
      <w:r>
        <w:t>1,1 Le développement éolien : une acceptation sociale et locale de plus en plus difficile</w:t>
      </w:r>
      <w:bookmarkEnd w:id="3"/>
    </w:p>
    <w:p w14:paraId="2D91BDA6"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 xml:space="preserve">Pour le seul secteur éolien, de nombreux projets sont en cours et leur acceptation est de plus en plus difficile par les populations concernées du fait des nuisances qu’ils engendrent. Cela tient en grande partie au modèle économique structurant la filière où les bénéfices sont captés par une minorité (promoteurs, propriétaires et exploitants) alors que les nuisances sont partagées par le plus grand nombre. </w:t>
      </w:r>
    </w:p>
    <w:p w14:paraId="4B25544F"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 xml:space="preserve">Dans les environs Archigny, les installations sont déjà nombreuses : </w:t>
      </w:r>
    </w:p>
    <w:p w14:paraId="72202DB8" w14:textId="77777777" w:rsidR="001E667C" w:rsidRDefault="00000000">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Parcs déjà existants à Oyré (5 machines), </w:t>
      </w:r>
    </w:p>
    <w:p w14:paraId="5786CF92" w14:textId="77777777" w:rsidR="001E667C" w:rsidRDefault="00000000">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Leigné-les-Bois (7) </w:t>
      </w:r>
    </w:p>
    <w:p w14:paraId="69D60B3F" w14:textId="77777777" w:rsidR="001E667C" w:rsidRDefault="00000000">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Saint-Pierre-de-Maillé (18) ; </w:t>
      </w:r>
    </w:p>
    <w:p w14:paraId="537A6FB7"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A celles-ci s’ajoutent les projets de :</w:t>
      </w:r>
    </w:p>
    <w:p w14:paraId="1B1C94AD" w14:textId="77777777" w:rsidR="001E667C" w:rsidRDefault="00000000">
      <w:pPr>
        <w:numPr>
          <w:ilvl w:val="0"/>
          <w:numId w:val="2"/>
        </w:numPr>
        <w:ind w:left="0" w:firstLine="0"/>
        <w:jc w:val="both"/>
        <w:rPr>
          <w:rFonts w:ascii="Times New Roman" w:hAnsi="Times New Roman" w:cs="Times New Roman"/>
          <w:sz w:val="24"/>
          <w:szCs w:val="24"/>
        </w:rPr>
      </w:pPr>
      <w:r>
        <w:rPr>
          <w:rFonts w:ascii="Times New Roman" w:hAnsi="Times New Roman" w:cs="Times New Roman"/>
          <w:sz w:val="24"/>
          <w:szCs w:val="24"/>
        </w:rPr>
        <w:t xml:space="preserve">Senillé &amp; Monthoiron (6 nouvelles machines potentielles), </w:t>
      </w:r>
    </w:p>
    <w:p w14:paraId="3280787B" w14:textId="77777777" w:rsidR="001E667C" w:rsidRDefault="00000000">
      <w:pPr>
        <w:numPr>
          <w:ilvl w:val="0"/>
          <w:numId w:val="2"/>
        </w:numPr>
        <w:ind w:left="0" w:firstLine="0"/>
        <w:jc w:val="both"/>
        <w:rPr>
          <w:rFonts w:ascii="Times New Roman" w:hAnsi="Times New Roman" w:cs="Times New Roman"/>
          <w:sz w:val="24"/>
          <w:szCs w:val="24"/>
        </w:rPr>
      </w:pPr>
      <w:r>
        <w:rPr>
          <w:rFonts w:ascii="Times New Roman" w:hAnsi="Times New Roman" w:cs="Times New Roman"/>
          <w:sz w:val="24"/>
          <w:szCs w:val="24"/>
        </w:rPr>
        <w:t xml:space="preserve">Saint-Pierre-de-Maillé (+4 machines), </w:t>
      </w:r>
    </w:p>
    <w:p w14:paraId="059AD30A" w14:textId="77777777" w:rsidR="001E667C" w:rsidRDefault="00000000">
      <w:pPr>
        <w:numPr>
          <w:ilvl w:val="0"/>
          <w:numId w:val="2"/>
        </w:numPr>
        <w:ind w:left="0" w:firstLine="0"/>
        <w:jc w:val="both"/>
        <w:rPr>
          <w:rFonts w:ascii="Times New Roman" w:hAnsi="Times New Roman" w:cs="Times New Roman"/>
          <w:sz w:val="24"/>
          <w:szCs w:val="24"/>
        </w:rPr>
      </w:pPr>
      <w:r>
        <w:rPr>
          <w:rFonts w:ascii="Times New Roman" w:hAnsi="Times New Roman" w:cs="Times New Roman"/>
          <w:sz w:val="24"/>
          <w:szCs w:val="24"/>
        </w:rPr>
        <w:t xml:space="preserve">Chenevelles (5 éoliennes de 200m de haut) </w:t>
      </w:r>
    </w:p>
    <w:p w14:paraId="1F9EDDA2" w14:textId="77777777" w:rsidR="001E667C" w:rsidRDefault="00000000">
      <w:pPr>
        <w:numPr>
          <w:ilvl w:val="0"/>
          <w:numId w:val="2"/>
        </w:numPr>
        <w:ind w:left="0" w:firstLine="0"/>
        <w:jc w:val="both"/>
        <w:rPr>
          <w:rFonts w:ascii="Times New Roman" w:hAnsi="Times New Roman" w:cs="Times New Roman"/>
          <w:sz w:val="24"/>
          <w:szCs w:val="24"/>
        </w:rPr>
      </w:pPr>
      <w:r>
        <w:rPr>
          <w:rFonts w:ascii="Times New Roman" w:hAnsi="Times New Roman" w:cs="Times New Roman"/>
          <w:sz w:val="24"/>
          <w:szCs w:val="24"/>
        </w:rPr>
        <w:t xml:space="preserve">Bonneuil </w:t>
      </w:r>
      <w:proofErr w:type="spellStart"/>
      <w:r>
        <w:rPr>
          <w:rFonts w:ascii="Times New Roman" w:hAnsi="Times New Roman" w:cs="Times New Roman"/>
          <w:sz w:val="24"/>
          <w:szCs w:val="24"/>
        </w:rPr>
        <w:t>Matours</w:t>
      </w:r>
      <w:proofErr w:type="spellEnd"/>
      <w:r>
        <w:rPr>
          <w:rFonts w:ascii="Times New Roman" w:hAnsi="Times New Roman" w:cs="Times New Roman"/>
          <w:sz w:val="24"/>
          <w:szCs w:val="24"/>
        </w:rPr>
        <w:t xml:space="preserve"> et </w:t>
      </w:r>
      <w:proofErr w:type="spellStart"/>
      <w:r>
        <w:rPr>
          <w:rFonts w:ascii="Times New Roman" w:hAnsi="Times New Roman" w:cs="Times New Roman"/>
          <w:sz w:val="24"/>
          <w:szCs w:val="24"/>
        </w:rPr>
        <w:t>Vouneuil</w:t>
      </w:r>
      <w:proofErr w:type="spellEnd"/>
      <w:r>
        <w:rPr>
          <w:rFonts w:ascii="Times New Roman" w:hAnsi="Times New Roman" w:cs="Times New Roman"/>
          <w:sz w:val="24"/>
          <w:szCs w:val="24"/>
        </w:rPr>
        <w:t>/Vienne (5 éoliennes de 180m de haut)</w:t>
      </w:r>
    </w:p>
    <w:p w14:paraId="2CA94FC4" w14:textId="77777777" w:rsidR="001E667C" w:rsidRDefault="001E667C">
      <w:pPr>
        <w:jc w:val="both"/>
        <w:rPr>
          <w:rFonts w:ascii="Times New Roman" w:hAnsi="Times New Roman" w:cs="Times New Roman"/>
          <w:sz w:val="24"/>
          <w:szCs w:val="24"/>
        </w:rPr>
      </w:pPr>
    </w:p>
    <w:p w14:paraId="7665E9B7"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 xml:space="preserve">Archigny sera donc probablement un jour ceinturée d’éoliennes et où que portera notre regard l’horizon en sera pourvu de jour comme de nuit.  Le Conseil Communautaire de Grand Châtellerault s’étant engagé -dans sa séance du 6 octobre dernier - à plus que doubler sa production d’énergie par le biais des </w:t>
      </w:r>
      <w:proofErr w:type="spellStart"/>
      <w:r>
        <w:rPr>
          <w:rFonts w:ascii="Times New Roman" w:hAnsi="Times New Roman" w:cs="Times New Roman"/>
          <w:sz w:val="24"/>
          <w:szCs w:val="24"/>
        </w:rPr>
        <w:t>EnR</w:t>
      </w:r>
      <w:proofErr w:type="spellEnd"/>
      <w:r>
        <w:rPr>
          <w:rFonts w:ascii="Times New Roman" w:hAnsi="Times New Roman" w:cs="Times New Roman"/>
          <w:sz w:val="24"/>
          <w:szCs w:val="24"/>
        </w:rPr>
        <w:t xml:space="preserve"> entre 2023 et 2030 (de 442 GWhs à 950 GWhs), nous pouvons nous attendre à ce que la pression sur les territoires s’accentue considérablement dans les toutes prochaines années.  </w:t>
      </w:r>
    </w:p>
    <w:p w14:paraId="3EC417AD" w14:textId="1CBDC78E" w:rsidR="001E667C" w:rsidRDefault="00000000">
      <w:pPr>
        <w:jc w:val="both"/>
        <w:rPr>
          <w:rFonts w:ascii="Times New Roman" w:hAnsi="Times New Roman" w:cs="Times New Roman"/>
          <w:sz w:val="24"/>
          <w:szCs w:val="24"/>
        </w:rPr>
      </w:pPr>
      <w:r>
        <w:rPr>
          <w:rFonts w:ascii="Times New Roman" w:hAnsi="Times New Roman" w:cs="Times New Roman"/>
          <w:sz w:val="24"/>
          <w:szCs w:val="24"/>
        </w:rPr>
        <w:t xml:space="preserve">Notre Association s’inscrit pleinement dans la volonté nationale de réduire l’emprunte carbone des sources d’énergie. Mais les projets </w:t>
      </w:r>
      <w:proofErr w:type="spellStart"/>
      <w:r>
        <w:rPr>
          <w:rFonts w:ascii="Times New Roman" w:hAnsi="Times New Roman" w:cs="Times New Roman"/>
          <w:sz w:val="24"/>
          <w:szCs w:val="24"/>
        </w:rPr>
        <w:t>En</w:t>
      </w:r>
      <w:r w:rsidR="00F66A63">
        <w:rPr>
          <w:rFonts w:ascii="Times New Roman" w:hAnsi="Times New Roman" w:cs="Times New Roman"/>
          <w:sz w:val="24"/>
          <w:szCs w:val="24"/>
        </w:rPr>
        <w:t>R</w:t>
      </w:r>
      <w:proofErr w:type="spellEnd"/>
      <w:r>
        <w:rPr>
          <w:rFonts w:ascii="Times New Roman" w:hAnsi="Times New Roman" w:cs="Times New Roman"/>
          <w:sz w:val="24"/>
          <w:szCs w:val="24"/>
        </w:rPr>
        <w:t xml:space="preserve"> notamment éoliens sont aujourd’hui beaucoup plus souvent imposés que réellement négociés avec les habitants concernés. Ces derniers sont parfois confrontés </w:t>
      </w:r>
      <w:r>
        <w:rPr>
          <w:rFonts w:ascii="Times New Roman" w:hAnsi="Times New Roman" w:cs="Times New Roman"/>
          <w:b/>
          <w:bCs/>
          <w:sz w:val="24"/>
          <w:szCs w:val="24"/>
        </w:rPr>
        <w:t>en amont</w:t>
      </w:r>
      <w:r>
        <w:rPr>
          <w:rFonts w:ascii="Times New Roman" w:hAnsi="Times New Roman" w:cs="Times New Roman"/>
          <w:sz w:val="24"/>
          <w:szCs w:val="24"/>
        </w:rPr>
        <w:t xml:space="preserve"> à des procédés très agressifs des promoteurs (démarchages sauvages, propagande, intimidations diverses). Mais ce n’est guère plus réjouissant </w:t>
      </w:r>
      <w:r>
        <w:rPr>
          <w:rFonts w:ascii="Times New Roman" w:hAnsi="Times New Roman" w:cs="Times New Roman"/>
          <w:b/>
          <w:bCs/>
          <w:sz w:val="24"/>
          <w:szCs w:val="24"/>
        </w:rPr>
        <w:t>en aval</w:t>
      </w:r>
      <w:r>
        <w:rPr>
          <w:rFonts w:ascii="Times New Roman" w:hAnsi="Times New Roman" w:cs="Times New Roman"/>
          <w:sz w:val="24"/>
          <w:szCs w:val="24"/>
        </w:rPr>
        <w:t xml:space="preserve"> puisque ces mêmes promoteurs n’hésitent pas à attaquer les décisions préfectorales qui leur sont défavorables comme c’est le cas à Senillé Saint Sauveur, Chenevelles, Bonneuil </w:t>
      </w:r>
      <w:proofErr w:type="spellStart"/>
      <w:r>
        <w:rPr>
          <w:rFonts w:ascii="Times New Roman" w:hAnsi="Times New Roman" w:cs="Times New Roman"/>
          <w:sz w:val="24"/>
          <w:szCs w:val="24"/>
        </w:rPr>
        <w:t>Matours</w:t>
      </w:r>
      <w:proofErr w:type="spellEnd"/>
      <w:r>
        <w:rPr>
          <w:rFonts w:ascii="Times New Roman" w:hAnsi="Times New Roman" w:cs="Times New Roman"/>
          <w:sz w:val="24"/>
          <w:szCs w:val="24"/>
        </w:rPr>
        <w:t xml:space="preserve"> ou Loudun quand bien même la sécurité aérienne serait en jeu ! </w:t>
      </w:r>
    </w:p>
    <w:p w14:paraId="03CD2DFB" w14:textId="77777777" w:rsidR="001E667C" w:rsidRDefault="001E667C">
      <w:pPr>
        <w:jc w:val="both"/>
        <w:rPr>
          <w:rFonts w:ascii="Times New Roman" w:hAnsi="Times New Roman" w:cs="Times New Roman"/>
          <w:sz w:val="24"/>
          <w:szCs w:val="24"/>
        </w:rPr>
      </w:pPr>
    </w:p>
    <w:p w14:paraId="71699966" w14:textId="77777777" w:rsidR="001E667C" w:rsidRDefault="001E667C">
      <w:pPr>
        <w:jc w:val="both"/>
        <w:rPr>
          <w:rFonts w:ascii="Times New Roman" w:hAnsi="Times New Roman" w:cs="Times New Roman"/>
          <w:sz w:val="24"/>
          <w:szCs w:val="24"/>
        </w:rPr>
      </w:pPr>
    </w:p>
    <w:p w14:paraId="7B2EC620"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lastRenderedPageBreak/>
        <w:t>Dans ce contexte de défiance, notre municipalité a tout d’abord affirmé son refus de tout programme éolien avant de changer de position lorsque nous lui avons proposé d’inscrire cette posture dans le projet de révision du PLU. Le document soumis à enquête publique se présente ainsi comme beaucoup trop imprécis et insuffisamment protecteur pour le patrimoine et l’environnement d’Archigny.</w:t>
      </w:r>
    </w:p>
    <w:p w14:paraId="4C73C55E" w14:textId="77777777" w:rsidR="001E667C" w:rsidRDefault="001E667C">
      <w:pPr>
        <w:jc w:val="both"/>
        <w:rPr>
          <w:rFonts w:ascii="Times New Roman" w:hAnsi="Times New Roman" w:cs="Times New Roman"/>
          <w:sz w:val="24"/>
          <w:szCs w:val="24"/>
        </w:rPr>
      </w:pPr>
    </w:p>
    <w:p w14:paraId="106777D9" w14:textId="77777777" w:rsidR="001E667C" w:rsidRDefault="00000000">
      <w:pPr>
        <w:pStyle w:val="Titre3"/>
      </w:pPr>
      <w:bookmarkStart w:id="4" w:name="__RefHeading___Toc552_1806733993"/>
      <w:bookmarkStart w:id="5" w:name="_Toc213868211"/>
      <w:bookmarkEnd w:id="4"/>
      <w:r>
        <w:t>1. 2 Un projet de PLU imprécis et insuffisamment protecteur</w:t>
      </w:r>
      <w:bookmarkEnd w:id="5"/>
    </w:p>
    <w:p w14:paraId="6C6D8B5B"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ab/>
        <w:t xml:space="preserve">La municipalité d’Archigny s’est prononcée à plusieurs reprises </w:t>
      </w:r>
      <w:r>
        <w:rPr>
          <w:rFonts w:ascii="Times New Roman" w:hAnsi="Times New Roman" w:cs="Times New Roman"/>
          <w:b/>
          <w:bCs/>
          <w:sz w:val="24"/>
          <w:szCs w:val="24"/>
        </w:rPr>
        <w:t>contre</w:t>
      </w:r>
      <w:r>
        <w:rPr>
          <w:rFonts w:ascii="Times New Roman" w:hAnsi="Times New Roman" w:cs="Times New Roman"/>
          <w:sz w:val="24"/>
          <w:szCs w:val="24"/>
        </w:rPr>
        <w:t xml:space="preserve"> les projets éoliens. Ce fut le cas par exemple lors </w:t>
      </w:r>
    </w:p>
    <w:p w14:paraId="418825DC"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du Conseil Municipal du 29 juin 2022 (PV p.5)</w:t>
      </w:r>
    </w:p>
    <w:p w14:paraId="1F212FE2"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le 9 mai 2023 en réponse aux sollicitations multiples des promoteurs et notamment de la société ENERTRAG souhaitant une implantation de 4 à 6 éoliennes de 220m de hauteur dans la ZNIEFF des Brandes de la Nivoire et des Tireaux : </w:t>
      </w:r>
    </w:p>
    <w:p w14:paraId="5736A51A" w14:textId="5EEE4B07" w:rsidR="001E667C" w:rsidRDefault="00000000">
      <w:pPr>
        <w:pStyle w:val="Blocdecitationuser"/>
        <w:jc w:val="both"/>
      </w:pPr>
      <w:r>
        <w:rPr>
          <w:rFonts w:ascii="Times New Roman" w:hAnsi="Times New Roman" w:cs="Times New Roman"/>
          <w:i/>
          <w:iCs/>
          <w:sz w:val="24"/>
          <w:szCs w:val="24"/>
        </w:rPr>
        <w:t>« (…) Il existe plusieurs sites sur le territoire de la commune offrant la possibilité d’implanter un parc éolien. Plusieurs sociétés ont rencontré Monsieur le Maire pour lui proposer le développement d’un projet éolien. Avant de donner suite à ces demandes, Monsieur le Maire sollicite l’avis du Conseil Municipal concernant le développement d’un projet éolien. Après en avoir délibéré le Conseil Municipal refuse l’implantation d’un projet éolien sur le territoire de la commune d’Archigny »</w:t>
      </w:r>
      <w:r>
        <w:rPr>
          <w:rFonts w:ascii="Times New Roman" w:hAnsi="Times New Roman" w:cs="Times New Roman"/>
          <w:sz w:val="24"/>
          <w:szCs w:val="24"/>
        </w:rPr>
        <w:t xml:space="preserve"> VOTE Pour</w:t>
      </w:r>
      <w:r w:rsidR="00196A38">
        <w:rPr>
          <w:rFonts w:ascii="Times New Roman" w:hAnsi="Times New Roman" w:cs="Times New Roman"/>
          <w:sz w:val="24"/>
          <w:szCs w:val="24"/>
        </w:rPr>
        <w:t xml:space="preserve"> l’éolien</w:t>
      </w:r>
      <w:r>
        <w:rPr>
          <w:rFonts w:ascii="Times New Roman" w:hAnsi="Times New Roman" w:cs="Times New Roman"/>
          <w:sz w:val="24"/>
          <w:szCs w:val="24"/>
        </w:rPr>
        <w:t xml:space="preserve"> : 0 Contre : 7 Abstention : 4 (Délibération 28-2023 PV p.3)</w:t>
      </w:r>
    </w:p>
    <w:p w14:paraId="6668B288" w14:textId="77777777" w:rsidR="001E667C" w:rsidRDefault="00000000">
      <w:pPr>
        <w:jc w:val="both"/>
        <w:rPr>
          <w:rFonts w:ascii="Times New Roman" w:hAnsi="Times New Roman" w:cs="Times New Roman"/>
          <w:sz w:val="24"/>
          <w:szCs w:val="24"/>
        </w:rPr>
      </w:pPr>
      <w:r>
        <w:rPr>
          <w:rFonts w:ascii="Times New Roman" w:hAnsi="Times New Roman" w:cs="Times New Roman"/>
          <w:i/>
          <w:iCs/>
          <w:sz w:val="24"/>
          <w:szCs w:val="24"/>
        </w:rPr>
        <w:t>-</w:t>
      </w:r>
      <w:r>
        <w:rPr>
          <w:rFonts w:ascii="Times New Roman" w:hAnsi="Times New Roman" w:cs="Times New Roman"/>
          <w:i/>
          <w:iCs/>
          <w:sz w:val="24"/>
          <w:szCs w:val="24"/>
        </w:rPr>
        <w:tab/>
      </w:r>
      <w:r>
        <w:rPr>
          <w:rFonts w:ascii="Times New Roman" w:hAnsi="Times New Roman" w:cs="Times New Roman"/>
          <w:sz w:val="24"/>
          <w:szCs w:val="24"/>
        </w:rPr>
        <w:t>Les élus municipaux se sont également prononcés le 17 octobre 2024 contre l’installation et l’exploitation du parc éolien « BONNEUIL-VOUNEUIL » et contre l’installation et l’exploitation de la « FERME EOLIENNE DE SAINT-PIERRE DE MAILLE ». </w:t>
      </w:r>
    </w:p>
    <w:p w14:paraId="5995EE4F"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ab/>
        <w:t xml:space="preserve">La gêne occasionnée par les éoliennes installées dans les environs d’Archigny est bien soulignée dans le rapport de présentation dans son chapitre 3.4.2 </w:t>
      </w:r>
      <w:r>
        <w:rPr>
          <w:rFonts w:ascii="Times New Roman" w:hAnsi="Times New Roman" w:cs="Times New Roman"/>
          <w:i/>
          <w:iCs/>
          <w:sz w:val="24"/>
          <w:szCs w:val="24"/>
        </w:rPr>
        <w:t>« les cônes de vue et entrées de bourg »</w:t>
      </w:r>
      <w:r>
        <w:rPr>
          <w:rFonts w:ascii="Times New Roman" w:hAnsi="Times New Roman" w:cs="Times New Roman"/>
          <w:sz w:val="24"/>
          <w:szCs w:val="24"/>
        </w:rPr>
        <w:t xml:space="preserve"> qui choisit de montrer (photos 28 et 29) les </w:t>
      </w:r>
      <w:r>
        <w:rPr>
          <w:rFonts w:ascii="Times New Roman" w:hAnsi="Times New Roman" w:cs="Times New Roman"/>
          <w:i/>
          <w:iCs/>
          <w:sz w:val="24"/>
          <w:szCs w:val="24"/>
        </w:rPr>
        <w:t>« vues du parc éolien de Saint Pierre de Maillé depuis la D83 »</w:t>
      </w:r>
      <w:r>
        <w:rPr>
          <w:rFonts w:ascii="Times New Roman" w:hAnsi="Times New Roman" w:cs="Times New Roman"/>
          <w:sz w:val="24"/>
          <w:szCs w:val="24"/>
        </w:rPr>
        <w:t xml:space="preserve"> et les </w:t>
      </w:r>
      <w:r>
        <w:rPr>
          <w:rFonts w:ascii="Times New Roman" w:hAnsi="Times New Roman" w:cs="Times New Roman"/>
          <w:i/>
          <w:iCs/>
          <w:sz w:val="24"/>
          <w:szCs w:val="24"/>
        </w:rPr>
        <w:t xml:space="preserve">« vues du parc éolien depuis la </w:t>
      </w:r>
      <w:proofErr w:type="spellStart"/>
      <w:r>
        <w:rPr>
          <w:rFonts w:ascii="Times New Roman" w:hAnsi="Times New Roman" w:cs="Times New Roman"/>
          <w:i/>
          <w:iCs/>
          <w:sz w:val="24"/>
          <w:szCs w:val="24"/>
        </w:rPr>
        <w:t>Clerterie</w:t>
      </w:r>
      <w:proofErr w:type="spellEnd"/>
      <w:r>
        <w:rPr>
          <w:rFonts w:ascii="Times New Roman" w:hAnsi="Times New Roman" w:cs="Times New Roman"/>
          <w:i/>
          <w:iCs/>
          <w:sz w:val="24"/>
          <w:szCs w:val="24"/>
        </w:rPr>
        <w:t xml:space="preserve"> et le </w:t>
      </w:r>
      <w:proofErr w:type="spellStart"/>
      <w:r>
        <w:rPr>
          <w:rFonts w:ascii="Times New Roman" w:hAnsi="Times New Roman" w:cs="Times New Roman"/>
          <w:i/>
          <w:iCs/>
          <w:sz w:val="24"/>
          <w:szCs w:val="24"/>
        </w:rPr>
        <w:t>Puygirault</w:t>
      </w:r>
      <w:proofErr w:type="spellEnd"/>
      <w:r>
        <w:rPr>
          <w:rFonts w:ascii="Times New Roman" w:hAnsi="Times New Roman" w:cs="Times New Roman"/>
          <w:i/>
          <w:iCs/>
          <w:sz w:val="24"/>
          <w:szCs w:val="24"/>
        </w:rPr>
        <w:t> »</w:t>
      </w:r>
      <w:r>
        <w:rPr>
          <w:rFonts w:ascii="Times New Roman" w:hAnsi="Times New Roman" w:cs="Times New Roman"/>
          <w:sz w:val="24"/>
          <w:szCs w:val="24"/>
        </w:rPr>
        <w:t xml:space="preserve"> avec le commentaire suivant se rapportant à ces deux clichés explicites :</w:t>
      </w:r>
    </w:p>
    <w:p w14:paraId="67E443E8" w14:textId="77777777" w:rsidR="001E667C" w:rsidRDefault="00000000">
      <w:pPr>
        <w:pStyle w:val="Blocdecitationuse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 xml:space="preserve">« Un autre cône de vue est important à noter, celui du parc éolien de Saint Pierre de Maillé. En effet, des éoliennes sont installées sur la commune voisine, ce qui impacte le paysage depuis plusieurs lieux dans Archigny. On peut notamment les voir depuis la RD83 mais également beaucoup plus proche depuis les hameaux de la </w:t>
      </w:r>
      <w:proofErr w:type="spellStart"/>
      <w:r>
        <w:rPr>
          <w:rFonts w:ascii="Times New Roman" w:hAnsi="Times New Roman" w:cs="Times New Roman"/>
          <w:i/>
          <w:iCs/>
          <w:sz w:val="24"/>
          <w:szCs w:val="24"/>
        </w:rPr>
        <w:t>Clerterie</w:t>
      </w:r>
      <w:proofErr w:type="spellEnd"/>
      <w:r>
        <w:rPr>
          <w:rFonts w:ascii="Times New Roman" w:hAnsi="Times New Roman" w:cs="Times New Roman"/>
          <w:i/>
          <w:iCs/>
          <w:sz w:val="24"/>
          <w:szCs w:val="24"/>
        </w:rPr>
        <w:t xml:space="preserve"> et le </w:t>
      </w:r>
      <w:proofErr w:type="spellStart"/>
      <w:r>
        <w:rPr>
          <w:rFonts w:ascii="Times New Roman" w:hAnsi="Times New Roman" w:cs="Times New Roman"/>
          <w:i/>
          <w:iCs/>
          <w:sz w:val="24"/>
          <w:szCs w:val="24"/>
        </w:rPr>
        <w:t>Puygirault</w:t>
      </w:r>
      <w:proofErr w:type="spellEnd"/>
      <w:r>
        <w:rPr>
          <w:rFonts w:ascii="Times New Roman" w:hAnsi="Times New Roman" w:cs="Times New Roman"/>
          <w:i/>
          <w:iCs/>
          <w:sz w:val="24"/>
          <w:szCs w:val="24"/>
        </w:rPr>
        <w:t> »</w:t>
      </w:r>
      <w:r>
        <w:rPr>
          <w:rFonts w:ascii="Times New Roman" w:hAnsi="Times New Roman" w:cs="Times New Roman"/>
          <w:sz w:val="24"/>
          <w:szCs w:val="24"/>
        </w:rPr>
        <w:t xml:space="preserve"> </w:t>
      </w:r>
    </w:p>
    <w:p w14:paraId="3B0E1B1C" w14:textId="77777777" w:rsidR="001E667C" w:rsidRDefault="001E667C">
      <w:pPr>
        <w:pStyle w:val="Blocdecitationuser"/>
        <w:jc w:val="both"/>
        <w:rPr>
          <w:rFonts w:ascii="Times New Roman" w:hAnsi="Times New Roman" w:cs="Times New Roman"/>
          <w:sz w:val="24"/>
          <w:szCs w:val="24"/>
        </w:rPr>
      </w:pPr>
    </w:p>
    <w:p w14:paraId="2732D65E" w14:textId="77777777" w:rsidR="001E667C" w:rsidRDefault="001E667C">
      <w:pPr>
        <w:pStyle w:val="Blocdecitationuser"/>
        <w:jc w:val="both"/>
        <w:rPr>
          <w:rFonts w:ascii="Times New Roman" w:hAnsi="Times New Roman" w:cs="Times New Roman"/>
          <w:sz w:val="24"/>
          <w:szCs w:val="24"/>
        </w:rPr>
      </w:pPr>
    </w:p>
    <w:p w14:paraId="64569BC7" w14:textId="77777777" w:rsidR="001E667C" w:rsidRDefault="001E667C">
      <w:pPr>
        <w:pStyle w:val="Blocdecitationuser"/>
        <w:jc w:val="both"/>
        <w:rPr>
          <w:rFonts w:ascii="Times New Roman" w:hAnsi="Times New Roman" w:cs="Times New Roman"/>
          <w:sz w:val="24"/>
          <w:szCs w:val="24"/>
        </w:rPr>
      </w:pPr>
    </w:p>
    <w:p w14:paraId="69A31402"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lastRenderedPageBreak/>
        <w:t xml:space="preserve">=&gt; </w:t>
      </w:r>
      <w:r>
        <w:rPr>
          <w:rFonts w:ascii="Times New Roman" w:hAnsi="Times New Roman" w:cs="Times New Roman"/>
          <w:b/>
          <w:bCs/>
          <w:sz w:val="24"/>
          <w:szCs w:val="24"/>
        </w:rPr>
        <w:t xml:space="preserve">Cette position de principe ne se retrouve toutefois pas dans le projet de PLU proposé. </w:t>
      </w:r>
    </w:p>
    <w:p w14:paraId="30436E17"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Le PADD proposé reconnaît bien la nécessité d’encadrer le développement de l’éolien mais de manière bien imprécise p. 22 :</w:t>
      </w:r>
    </w:p>
    <w:p w14:paraId="25E32845" w14:textId="77777777" w:rsidR="001E667C" w:rsidRDefault="00000000">
      <w:pPr>
        <w:pStyle w:val="Blocdecitationuser"/>
        <w:jc w:val="both"/>
      </w:pPr>
      <w:r>
        <w:rPr>
          <w:rFonts w:ascii="Times New Roman" w:hAnsi="Times New Roman" w:cs="Times New Roman"/>
          <w:sz w:val="24"/>
          <w:szCs w:val="24"/>
        </w:rPr>
        <w:t xml:space="preserve"> </w:t>
      </w:r>
      <w:r>
        <w:rPr>
          <w:rFonts w:ascii="Times New Roman" w:hAnsi="Times New Roman" w:cs="Times New Roman"/>
          <w:i/>
          <w:iCs/>
          <w:sz w:val="24"/>
          <w:szCs w:val="24"/>
        </w:rPr>
        <w:t>« Encadrer le développement éolien afin d’éviter les impacts sur les zones naturelles, les écosystèmes et le grand paysage. Les implantations devront être évitées à proximité de la ligne acadienne et de l’abbaye de l’Etoile »</w:t>
      </w:r>
      <w:r>
        <w:rPr>
          <w:rFonts w:ascii="Times New Roman" w:hAnsi="Times New Roman" w:cs="Times New Roman"/>
          <w:sz w:val="24"/>
          <w:szCs w:val="24"/>
        </w:rPr>
        <w:t xml:space="preserve">.  </w:t>
      </w:r>
    </w:p>
    <w:p w14:paraId="168CB696"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 xml:space="preserve">Qu’entend-on par </w:t>
      </w:r>
      <w:r>
        <w:rPr>
          <w:rFonts w:ascii="Times New Roman" w:hAnsi="Times New Roman" w:cs="Times New Roman"/>
          <w:i/>
          <w:iCs/>
          <w:sz w:val="24"/>
          <w:szCs w:val="24"/>
        </w:rPr>
        <w:t>« </w:t>
      </w:r>
      <w:r>
        <w:rPr>
          <w:rFonts w:ascii="Times New Roman" w:hAnsi="Times New Roman" w:cs="Times New Roman"/>
          <w:b/>
          <w:bCs/>
          <w:i/>
          <w:iCs/>
          <w:sz w:val="24"/>
          <w:szCs w:val="24"/>
        </w:rPr>
        <w:t>grand paysage</w:t>
      </w:r>
      <w:r>
        <w:rPr>
          <w:rFonts w:ascii="Times New Roman" w:hAnsi="Times New Roman" w:cs="Times New Roman"/>
          <w:i/>
          <w:iCs/>
          <w:sz w:val="24"/>
          <w:szCs w:val="24"/>
        </w:rPr>
        <w:t> »</w:t>
      </w:r>
      <w:r>
        <w:rPr>
          <w:rFonts w:ascii="Times New Roman" w:hAnsi="Times New Roman" w:cs="Times New Roman"/>
          <w:sz w:val="24"/>
          <w:szCs w:val="24"/>
        </w:rPr>
        <w:t xml:space="preserve"> et par </w:t>
      </w:r>
      <w:r>
        <w:rPr>
          <w:rFonts w:ascii="Times New Roman" w:hAnsi="Times New Roman" w:cs="Times New Roman"/>
          <w:i/>
          <w:iCs/>
          <w:sz w:val="24"/>
          <w:szCs w:val="24"/>
        </w:rPr>
        <w:t>« </w:t>
      </w:r>
      <w:r>
        <w:rPr>
          <w:rFonts w:ascii="Times New Roman" w:hAnsi="Times New Roman" w:cs="Times New Roman"/>
          <w:b/>
          <w:bCs/>
          <w:i/>
          <w:iCs/>
          <w:sz w:val="24"/>
          <w:szCs w:val="24"/>
        </w:rPr>
        <w:t>proximité</w:t>
      </w:r>
      <w:r>
        <w:rPr>
          <w:rFonts w:ascii="Times New Roman" w:hAnsi="Times New Roman" w:cs="Times New Roman"/>
          <w:i/>
          <w:iCs/>
          <w:sz w:val="24"/>
          <w:szCs w:val="24"/>
        </w:rPr>
        <w:t> »</w:t>
      </w:r>
      <w:r>
        <w:rPr>
          <w:rFonts w:ascii="Times New Roman" w:hAnsi="Times New Roman" w:cs="Times New Roman"/>
          <w:sz w:val="24"/>
          <w:szCs w:val="24"/>
        </w:rPr>
        <w:t xml:space="preserve"> ? </w:t>
      </w:r>
    </w:p>
    <w:p w14:paraId="2F4551F7"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 xml:space="preserve">Le texte ne nous le dit pas et aurait besoin pour être acceptable d’une formulation beaucoup plus précise en termes de définition et de mesure (zonage). </w:t>
      </w:r>
    </w:p>
    <w:p w14:paraId="1166306C" w14:textId="77777777" w:rsidR="001E667C" w:rsidRDefault="00000000">
      <w:pPr>
        <w:jc w:val="both"/>
        <w:rPr>
          <w:rFonts w:ascii="Times New Roman" w:hAnsi="Times New Roman" w:cs="Times New Roman"/>
          <w:sz w:val="24"/>
          <w:szCs w:val="24"/>
        </w:rPr>
      </w:pPr>
      <w:bookmarkStart w:id="6" w:name="_Hlk213932541"/>
      <w:r>
        <w:rPr>
          <w:rFonts w:ascii="Times New Roman" w:hAnsi="Times New Roman" w:cs="Times New Roman"/>
          <w:sz w:val="24"/>
          <w:szCs w:val="24"/>
        </w:rPr>
        <w:t xml:space="preserve">De plus, un PLU doit en principe assurer une parfaite cohérence entre PADD, OAP et règlement (écrit et graphique) : mais </w:t>
      </w:r>
      <w:r>
        <w:rPr>
          <w:rFonts w:ascii="Times New Roman" w:hAnsi="Times New Roman" w:cs="Times New Roman"/>
          <w:b/>
          <w:bCs/>
          <w:sz w:val="24"/>
          <w:szCs w:val="24"/>
        </w:rPr>
        <w:t xml:space="preserve">ce n’est pas le cas au sujet du développement des </w:t>
      </w:r>
      <w:proofErr w:type="spellStart"/>
      <w:r>
        <w:rPr>
          <w:rFonts w:ascii="Times New Roman" w:hAnsi="Times New Roman" w:cs="Times New Roman"/>
          <w:b/>
          <w:bCs/>
          <w:sz w:val="24"/>
          <w:szCs w:val="24"/>
        </w:rPr>
        <w:t>EnR</w:t>
      </w:r>
      <w:proofErr w:type="spellEnd"/>
      <w:r>
        <w:rPr>
          <w:rFonts w:ascii="Times New Roman" w:hAnsi="Times New Roman" w:cs="Times New Roman"/>
          <w:b/>
          <w:bCs/>
          <w:sz w:val="24"/>
          <w:szCs w:val="24"/>
        </w:rPr>
        <w:t xml:space="preserve"> sur la commune</w:t>
      </w:r>
      <w:r>
        <w:rPr>
          <w:rFonts w:ascii="Times New Roman" w:hAnsi="Times New Roman" w:cs="Times New Roman"/>
          <w:sz w:val="24"/>
          <w:szCs w:val="24"/>
        </w:rPr>
        <w:t>, ce qui peut remettre en cause la légalité du document comme le rappelle p6 le Porter à Connaissance de l’Etat publié par la Préfecture de la Vienne à l’occasion de la révision du PLU d’Archigny (cf.</w:t>
      </w:r>
      <w:r>
        <w:t xml:space="preserve"> </w:t>
      </w:r>
      <w:hyperlink r:id="rId8">
        <w:r w:rsidR="001E667C">
          <w:rPr>
            <w:rStyle w:val="Lienhypertexte"/>
            <w:rFonts w:ascii="Times New Roman" w:hAnsi="Times New Roman" w:cs="Times New Roman"/>
            <w:sz w:val="24"/>
            <w:szCs w:val="24"/>
          </w:rPr>
          <w:t>Archigny_2022_TramePAC_PLU.pdf</w:t>
        </w:r>
      </w:hyperlink>
      <w:r>
        <w:rPr>
          <w:rFonts w:ascii="Times New Roman" w:hAnsi="Times New Roman" w:cs="Times New Roman"/>
          <w:sz w:val="24"/>
          <w:szCs w:val="24"/>
        </w:rPr>
        <w:t>)</w:t>
      </w:r>
    </w:p>
    <w:p w14:paraId="185C61D9"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 xml:space="preserve">Un apport de précisions est donc nécessaire et souhaitable. </w:t>
      </w:r>
    </w:p>
    <w:bookmarkEnd w:id="6"/>
    <w:p w14:paraId="2B2287AB"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 xml:space="preserve">Il sécuriserait en outre les projets portés autour des 5 STECAL prévues dans ce nouveau PLU zonées en AI (vocation touristique) et présentées p14 du Résumé non technique qui risquent d’être directement impactés par les projets éoliens qui s’annoncent (surtout celui de la </w:t>
      </w:r>
      <w:proofErr w:type="spellStart"/>
      <w:r>
        <w:rPr>
          <w:rFonts w:ascii="Times New Roman" w:hAnsi="Times New Roman" w:cs="Times New Roman"/>
          <w:sz w:val="24"/>
          <w:szCs w:val="24"/>
        </w:rPr>
        <w:t>Bidaudière</w:t>
      </w:r>
      <w:proofErr w:type="spellEnd"/>
      <w:r>
        <w:rPr>
          <w:rFonts w:ascii="Times New Roman" w:hAnsi="Times New Roman" w:cs="Times New Roman"/>
          <w:sz w:val="24"/>
          <w:szCs w:val="24"/>
        </w:rPr>
        <w:t xml:space="preserve">). </w:t>
      </w:r>
    </w:p>
    <w:p w14:paraId="66BB69AF"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 xml:space="preserve">Inversement, le manque de précisions laisse une trop grande marge de manœuvre aux promoteurs et nous paraît </w:t>
      </w:r>
      <w:r>
        <w:rPr>
          <w:rFonts w:ascii="Times New Roman" w:hAnsi="Times New Roman" w:cs="Times New Roman"/>
          <w:b/>
          <w:bCs/>
          <w:sz w:val="24"/>
          <w:szCs w:val="24"/>
        </w:rPr>
        <w:t>éloignée de l’esprit du SCOT</w:t>
      </w:r>
      <w:r>
        <w:rPr>
          <w:rFonts w:ascii="Times New Roman" w:hAnsi="Times New Roman" w:cs="Times New Roman"/>
          <w:sz w:val="24"/>
          <w:szCs w:val="24"/>
        </w:rPr>
        <w:t xml:space="preserve"> adopté par le Syndicat Mixte d’Aménagement du Seuil du Poitou (SMASP) le 11 février 2020</w:t>
      </w:r>
      <w:r>
        <w:rPr>
          <w:rFonts w:ascii="Times New Roman" w:hAnsi="Times New Roman" w:cs="Times New Roman"/>
          <w:b/>
          <w:bCs/>
          <w:sz w:val="24"/>
          <w:szCs w:val="24"/>
        </w:rPr>
        <w:t xml:space="preserve"> qui prévoit que les grands projets éoliens ou photovoltaïques soient implantés prioritairement en dehors des milieux naturels et paysages patrimoniaux et identitaires les plus sensibles ce qui suppose leur recensement précis.</w:t>
      </w:r>
      <w:r>
        <w:rPr>
          <w:rFonts w:ascii="Times New Roman" w:hAnsi="Times New Roman" w:cs="Times New Roman"/>
          <w:sz w:val="24"/>
          <w:szCs w:val="24"/>
        </w:rPr>
        <w:t xml:space="preserve"> </w:t>
      </w:r>
    </w:p>
    <w:p w14:paraId="3ED2521D"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Un tel manque de cohérence avec un texte dit « </w:t>
      </w:r>
      <w:r>
        <w:rPr>
          <w:rFonts w:ascii="Times New Roman" w:hAnsi="Times New Roman" w:cs="Times New Roman"/>
          <w:b/>
          <w:bCs/>
          <w:sz w:val="24"/>
          <w:szCs w:val="24"/>
        </w:rPr>
        <w:t>de rang supérieur</w:t>
      </w:r>
      <w:r>
        <w:rPr>
          <w:rFonts w:ascii="Times New Roman" w:hAnsi="Times New Roman" w:cs="Times New Roman"/>
          <w:sz w:val="24"/>
          <w:szCs w:val="24"/>
        </w:rPr>
        <w:t xml:space="preserve"> » est un sérieux problème en soi et pour des raisons sensiblement analogues, le SMASP a émis le 3 juin 2025 des réserves quant au PLU de la commune de Thuré à propos duquel il a été conseillé à ses partisans de mieux encadrer </w:t>
      </w:r>
    </w:p>
    <w:p w14:paraId="25A4FFD3" w14:textId="77777777" w:rsidR="001E667C" w:rsidRDefault="00000000">
      <w:pPr>
        <w:pStyle w:val="Blocdecitationuser"/>
        <w:jc w:val="both"/>
      </w:pPr>
      <w:r>
        <w:rPr>
          <w:rFonts w:ascii="Times New Roman" w:hAnsi="Times New Roman" w:cs="Times New Roman"/>
          <w:i/>
          <w:iCs/>
          <w:sz w:val="24"/>
          <w:szCs w:val="24"/>
        </w:rPr>
        <w:t>« Les possibilités d’implantation photovoltaïques au sol et de parcs éoliens selon les objectifs du SCOT au regard des enjeux pour l’activité agricole, les milieux naturels et les paysages </w:t>
      </w:r>
      <w:r>
        <w:rPr>
          <w:rFonts w:ascii="Times New Roman" w:hAnsi="Times New Roman" w:cs="Times New Roman"/>
          <w:sz w:val="24"/>
          <w:szCs w:val="24"/>
        </w:rPr>
        <w:t>».</w:t>
      </w:r>
    </w:p>
    <w:p w14:paraId="45F6FA99"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 xml:space="preserve">Cette absence de précision nous semble également très éloignée de l’esprit de deux textes législatifs en vigueur : la Loi dite 3DS du 21 février 2022 et la Loi du 10 mars 2023. </w:t>
      </w:r>
    </w:p>
    <w:p w14:paraId="2EF89B38"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 xml:space="preserve">La Loi dite « 3DS » du 21 février 2022 ouvre la possibilité aux communes et EPCI de délimiter dans le PLU ou le PLUi, des secteurs où l’installation d’éoliennes sera soumise à conditions (article 35). Elle insère dans le code de l'urbanisme un article L. 151-42-1, aux termes duquel le règlement du PLU peut délimiter les secteurs dans lesquels l'implantation d'installations de </w:t>
      </w:r>
      <w:r>
        <w:rPr>
          <w:rFonts w:ascii="Times New Roman" w:hAnsi="Times New Roman" w:cs="Times New Roman"/>
          <w:sz w:val="24"/>
          <w:szCs w:val="24"/>
        </w:rPr>
        <w:lastRenderedPageBreak/>
        <w:t>production d'électricité à partir de l'énergie mécanique du vent est soumise à conditions, dès lors :</w:t>
      </w:r>
    </w:p>
    <w:p w14:paraId="126792CE"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1) qu’elles sont incompatibles avec le voisinage habité ou avec l'usage des terrains situés à proximité,</w:t>
      </w:r>
    </w:p>
    <w:p w14:paraId="2A77AC0C"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2) ou qu'elles portent atteinte à la sauvegarde des espaces naturels et des paysages, à la qualité architecturale, urbaine et paysagère, à la mise en valeur du patrimoine et à l'insertion des installations dans le milieu environnant.</w:t>
      </w:r>
    </w:p>
    <w:p w14:paraId="4C101F93"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La Loi du 10 mars 2023 est assez cohérente avec la Loi 3DS puisqu’elle a demandé aux communes et intercommunalités d’établir des zones d’accélérations des énergies renouvelables (</w:t>
      </w:r>
      <w:proofErr w:type="spellStart"/>
      <w:r>
        <w:rPr>
          <w:rFonts w:ascii="Times New Roman" w:hAnsi="Times New Roman" w:cs="Times New Roman"/>
          <w:sz w:val="24"/>
          <w:szCs w:val="24"/>
        </w:rPr>
        <w:t>ZAEnR</w:t>
      </w:r>
      <w:proofErr w:type="spellEnd"/>
      <w:r>
        <w:rPr>
          <w:rFonts w:ascii="Times New Roman" w:hAnsi="Times New Roman" w:cs="Times New Roman"/>
          <w:sz w:val="24"/>
          <w:szCs w:val="24"/>
        </w:rPr>
        <w:t xml:space="preserve">), c’est-à-dire de délimiter là où elles souhaitent voir s’implanter </w:t>
      </w:r>
      <w:r>
        <w:rPr>
          <w:rFonts w:ascii="Times New Roman" w:hAnsi="Times New Roman" w:cs="Times New Roman"/>
          <w:b/>
          <w:bCs/>
          <w:sz w:val="24"/>
          <w:szCs w:val="24"/>
        </w:rPr>
        <w:t>prioritairement</w:t>
      </w:r>
      <w:r>
        <w:rPr>
          <w:rFonts w:ascii="Times New Roman" w:hAnsi="Times New Roman" w:cs="Times New Roman"/>
          <w:sz w:val="24"/>
          <w:szCs w:val="24"/>
        </w:rPr>
        <w:t xml:space="preserve"> des projets éoliens, photovoltaïques, géothermiques, méthaniseurs, etc.</w:t>
      </w:r>
      <w:r>
        <w:rPr>
          <w:rFonts w:ascii="Tahoma" w:hAnsi="Tahoma" w:cs="Tahoma"/>
          <w:sz w:val="24"/>
          <w:szCs w:val="24"/>
        </w:rPr>
        <w:t>﻿</w:t>
      </w:r>
      <w:r>
        <w:rPr>
          <w:rFonts w:ascii="Times New Roman" w:hAnsi="Times New Roman" w:cs="Times New Roman"/>
          <w:sz w:val="24"/>
          <w:szCs w:val="24"/>
        </w:rPr>
        <w:t xml:space="preserve">. </w:t>
      </w:r>
    </w:p>
    <w:p w14:paraId="219834BA"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 xml:space="preserve">En dépit de ces dispositions légales, le projet de PLU d’Archigny qui nous est proposé ne prévoit rien de précis ce qui permet aux promoteurs de convoiter certaines zones particulièrement riches du point de vue patrimonial ou écologique comme nous le verrons dans le point 2 de notre contribution. Il est donc faux de prétendre comme le fait le cabinet </w:t>
      </w:r>
      <w:proofErr w:type="spellStart"/>
      <w:r>
        <w:rPr>
          <w:rFonts w:ascii="Times New Roman" w:hAnsi="Times New Roman" w:cs="Times New Roman"/>
          <w:sz w:val="24"/>
          <w:szCs w:val="24"/>
        </w:rPr>
        <w:t>Auddicé</w:t>
      </w:r>
      <w:proofErr w:type="spellEnd"/>
      <w:r>
        <w:rPr>
          <w:rFonts w:ascii="Times New Roman" w:hAnsi="Times New Roman" w:cs="Times New Roman"/>
          <w:sz w:val="24"/>
          <w:szCs w:val="24"/>
        </w:rPr>
        <w:t xml:space="preserve"> à plusieurs reprises en réponse à nos interrogations dans le bilan de concertation que</w:t>
      </w:r>
    </w:p>
    <w:p w14:paraId="672B93BE" w14:textId="77777777" w:rsidR="001E667C" w:rsidRDefault="00000000">
      <w:pPr>
        <w:pStyle w:val="Blocdecitationuser"/>
        <w:jc w:val="both"/>
      </w:pPr>
      <w:r>
        <w:rPr>
          <w:rFonts w:ascii="Times New Roman" w:hAnsi="Times New Roman" w:cs="Times New Roman"/>
          <w:sz w:val="24"/>
          <w:szCs w:val="24"/>
        </w:rPr>
        <w:t xml:space="preserve"> </w:t>
      </w:r>
      <w:r>
        <w:rPr>
          <w:rFonts w:ascii="Times New Roman" w:hAnsi="Times New Roman" w:cs="Times New Roman"/>
          <w:i/>
          <w:iCs/>
          <w:sz w:val="24"/>
          <w:szCs w:val="24"/>
        </w:rPr>
        <w:t>« Dans le cadre de ce projet de PLU, une réflexion générale s’est portée sur le développement des énergies renouvelables, dont fait partie l’énergie éolienne. Par ailleurs, le projet de PLU s’efforce de trouver l’équilibre entre le développement des énergies renouvelables, et la protection des patrimoines, qu’ils soient culturels, paysagers, bâtis ou encore naturels »</w:t>
      </w:r>
      <w:r>
        <w:rPr>
          <w:rFonts w:ascii="Times New Roman" w:hAnsi="Times New Roman" w:cs="Times New Roman"/>
          <w:sz w:val="24"/>
          <w:szCs w:val="24"/>
        </w:rPr>
        <w:t xml:space="preserve"> (cf. bilan de concertation pp 29, 30, 31 et 33).</w:t>
      </w:r>
    </w:p>
    <w:p w14:paraId="0DCFC781"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Ces éléments nous incitent à formuler une première proposition de modification du projet de PLU :</w:t>
      </w:r>
    </w:p>
    <w:p w14:paraId="77254D6B" w14:textId="77777777" w:rsidR="001E667C" w:rsidRDefault="00000000">
      <w:pPr>
        <w:jc w:val="both"/>
        <w:rPr>
          <w:rFonts w:ascii="Times New Roman" w:hAnsi="Times New Roman" w:cs="Times New Roman"/>
          <w:sz w:val="24"/>
          <w:szCs w:val="24"/>
        </w:rPr>
      </w:pPr>
      <w:r>
        <w:rPr>
          <w:rFonts w:ascii="Times New Roman" w:hAnsi="Times New Roman" w:cs="Times New Roman"/>
          <w:color w:val="C00000"/>
          <w:sz w:val="24"/>
          <w:szCs w:val="24"/>
        </w:rPr>
        <w:t xml:space="preserve">Le projet de PLU (notamment dans le PADD, le règlement écrit et le règlement graphique) devrait comporter des dispositions précises excluant les grands projets </w:t>
      </w:r>
      <w:proofErr w:type="spellStart"/>
      <w:r>
        <w:rPr>
          <w:rFonts w:ascii="Times New Roman" w:hAnsi="Times New Roman" w:cs="Times New Roman"/>
          <w:color w:val="C00000"/>
          <w:sz w:val="24"/>
          <w:szCs w:val="24"/>
        </w:rPr>
        <w:t>EnR</w:t>
      </w:r>
      <w:proofErr w:type="spellEnd"/>
      <w:r>
        <w:rPr>
          <w:rFonts w:ascii="Times New Roman" w:hAnsi="Times New Roman" w:cs="Times New Roman"/>
          <w:color w:val="C00000"/>
          <w:sz w:val="24"/>
          <w:szCs w:val="24"/>
        </w:rPr>
        <w:t xml:space="preserve"> de certaines zones sensibles strictement délimitées et justifiées (Zones Natura 2000 ou ZNIEFF par exemple) qu’il conviendrait de classer en zones Naturelles Protégées (</w:t>
      </w:r>
      <w:proofErr w:type="spellStart"/>
      <w:r>
        <w:rPr>
          <w:rFonts w:ascii="Times New Roman" w:hAnsi="Times New Roman" w:cs="Times New Roman"/>
          <w:color w:val="C00000"/>
          <w:sz w:val="24"/>
          <w:szCs w:val="24"/>
        </w:rPr>
        <w:t>Np</w:t>
      </w:r>
      <w:proofErr w:type="spellEnd"/>
      <w:r>
        <w:rPr>
          <w:rFonts w:ascii="Times New Roman" w:hAnsi="Times New Roman" w:cs="Times New Roman"/>
          <w:color w:val="C00000"/>
          <w:sz w:val="24"/>
          <w:szCs w:val="24"/>
        </w:rPr>
        <w:t xml:space="preserve">). Le règlement écrit pourrait préciser que ces zones excluent tout équipement même d’intérêt collectif de plus de 12 mètres. </w:t>
      </w:r>
    </w:p>
    <w:p w14:paraId="6D17EC7E"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 xml:space="preserve">Même s’il n’existe aujourd’hui aucune jurisprudence administrative permettant d’affirmer que notre commune pourrait consacrer ce choix comme une interdiction inattaquable, l’inscription dans son PLU de zones d’exclusion de tout programme </w:t>
      </w:r>
      <w:proofErr w:type="spellStart"/>
      <w:r>
        <w:rPr>
          <w:rFonts w:ascii="Times New Roman" w:hAnsi="Times New Roman" w:cs="Times New Roman"/>
          <w:sz w:val="24"/>
          <w:szCs w:val="24"/>
        </w:rPr>
        <w:t>EnR</w:t>
      </w:r>
      <w:proofErr w:type="spellEnd"/>
      <w:r>
        <w:rPr>
          <w:rFonts w:ascii="Times New Roman" w:hAnsi="Times New Roman" w:cs="Times New Roman"/>
          <w:sz w:val="24"/>
          <w:szCs w:val="24"/>
        </w:rPr>
        <w:t xml:space="preserve"> de grande ampleur aurait certainement une vertu assez dissuasive. L’absence de telles mesures dans le projet de PLU soumis explique au contraire les ambitions des promoteurs dans une zone naturelle emblématique de notre commune : les brandes de la Nivoire et des Tireaux. </w:t>
      </w:r>
    </w:p>
    <w:p w14:paraId="49D889E5" w14:textId="77777777" w:rsidR="001E667C" w:rsidRDefault="001E667C">
      <w:pPr>
        <w:jc w:val="both"/>
        <w:rPr>
          <w:rFonts w:ascii="Times New Roman" w:hAnsi="Times New Roman" w:cs="Times New Roman"/>
          <w:color w:val="C00000"/>
          <w:sz w:val="24"/>
          <w:szCs w:val="24"/>
        </w:rPr>
      </w:pPr>
    </w:p>
    <w:p w14:paraId="132EF43B" w14:textId="77777777" w:rsidR="001E667C" w:rsidRDefault="00000000">
      <w:pPr>
        <w:pStyle w:val="Titre2"/>
      </w:pPr>
      <w:r>
        <w:br w:type="page"/>
      </w:r>
    </w:p>
    <w:p w14:paraId="0B5C2D57" w14:textId="77777777" w:rsidR="001E667C" w:rsidRDefault="00000000">
      <w:pPr>
        <w:pStyle w:val="Titre2"/>
        <w:spacing w:before="0"/>
      </w:pPr>
      <w:bookmarkStart w:id="7" w:name="__RefHeading___Toc554_1806733993"/>
      <w:bookmarkStart w:id="8" w:name="_Toc213868212"/>
      <w:bookmarkEnd w:id="7"/>
      <w:r>
        <w:lastRenderedPageBreak/>
        <w:t>2 Une Zone Naturelle d’Intérêt Faunistique et Floral particulièrement menacée : les Brandes de la Nivoire et des Tireaux.</w:t>
      </w:r>
      <w:bookmarkEnd w:id="8"/>
    </w:p>
    <w:p w14:paraId="6A441508" w14:textId="77777777" w:rsidR="001E667C" w:rsidRDefault="00000000">
      <w:pPr>
        <w:pStyle w:val="Titre3"/>
        <w:rPr>
          <w:rFonts w:ascii="Times New Roman" w:hAnsi="Times New Roman" w:cs="Times New Roman"/>
          <w:i/>
          <w:iCs/>
          <w:sz w:val="24"/>
          <w:szCs w:val="24"/>
        </w:rPr>
      </w:pPr>
      <w:bookmarkStart w:id="9" w:name="__RefHeading___Toc556_1806733993"/>
      <w:bookmarkStart w:id="10" w:name="_Toc213868213"/>
      <w:bookmarkEnd w:id="9"/>
      <w:r>
        <w:t>2.1 Présentation de la ZNIEFF des Brandes de la Nivoire et des Tireaux</w:t>
      </w:r>
      <w:bookmarkEnd w:id="10"/>
    </w:p>
    <w:p w14:paraId="50E7B71C" w14:textId="45B263FE" w:rsidR="001E667C" w:rsidRDefault="00000000">
      <w:pPr>
        <w:jc w:val="both"/>
        <w:rPr>
          <w:rFonts w:ascii="Times New Roman" w:hAnsi="Times New Roman" w:cs="Times New Roman"/>
          <w:sz w:val="24"/>
          <w:szCs w:val="24"/>
        </w:rPr>
      </w:pPr>
      <w:r>
        <w:rPr>
          <w:rFonts w:ascii="Times New Roman" w:hAnsi="Times New Roman" w:cs="Times New Roman"/>
          <w:sz w:val="24"/>
          <w:szCs w:val="24"/>
        </w:rPr>
        <w:t xml:space="preserve">La commune d’Archigny est concernée par trois projets éoliens dont deux sont situés sur la même zone naturelle sensible : </w:t>
      </w:r>
      <w:r>
        <w:rPr>
          <w:rFonts w:ascii="Times New Roman" w:hAnsi="Times New Roman" w:cs="Times New Roman"/>
          <w:b/>
          <w:bCs/>
          <w:sz w:val="24"/>
          <w:szCs w:val="24"/>
          <w:u w:val="single"/>
        </w:rPr>
        <w:t>la ZNIEFF des brandes de la Nivoire et des brandes des Tireaux</w:t>
      </w:r>
      <w:r>
        <w:rPr>
          <w:rFonts w:ascii="Times New Roman" w:hAnsi="Times New Roman" w:cs="Times New Roman"/>
          <w:sz w:val="24"/>
          <w:szCs w:val="24"/>
        </w:rPr>
        <w:t xml:space="preserve"> reconnue en 2001 (cf. fiche de </w:t>
      </w:r>
      <w:r w:rsidR="006D0159">
        <w:rPr>
          <w:rFonts w:ascii="Times New Roman" w:hAnsi="Times New Roman" w:cs="Times New Roman"/>
          <w:sz w:val="24"/>
          <w:szCs w:val="24"/>
        </w:rPr>
        <w:t>présentation</w:t>
      </w:r>
      <w:r>
        <w:rPr>
          <w:rFonts w:ascii="Times New Roman" w:hAnsi="Times New Roman" w:cs="Times New Roman"/>
          <w:sz w:val="24"/>
          <w:szCs w:val="24"/>
        </w:rPr>
        <w:t xml:space="preserve"> en annexe1a et </w:t>
      </w:r>
      <w:r w:rsidR="006D0159">
        <w:rPr>
          <w:rFonts w:ascii="Times New Roman" w:hAnsi="Times New Roman" w:cs="Times New Roman"/>
          <w:sz w:val="24"/>
          <w:szCs w:val="24"/>
        </w:rPr>
        <w:t>carte</w:t>
      </w:r>
      <w:r>
        <w:rPr>
          <w:rFonts w:ascii="Times New Roman" w:hAnsi="Times New Roman" w:cs="Times New Roman"/>
          <w:sz w:val="24"/>
          <w:szCs w:val="24"/>
        </w:rPr>
        <w:t xml:space="preserve"> en annexe 1b). </w:t>
      </w:r>
    </w:p>
    <w:p w14:paraId="646899E4" w14:textId="4B410085" w:rsidR="001E667C" w:rsidRDefault="00000000">
      <w:pPr>
        <w:jc w:val="both"/>
        <w:rPr>
          <w:rFonts w:ascii="Times New Roman" w:hAnsi="Times New Roman" w:cs="Times New Roman"/>
          <w:sz w:val="24"/>
          <w:szCs w:val="24"/>
        </w:rPr>
      </w:pPr>
      <w:r>
        <w:rPr>
          <w:rFonts w:ascii="Times New Roman" w:hAnsi="Times New Roman" w:cs="Times New Roman"/>
          <w:sz w:val="24"/>
          <w:szCs w:val="24"/>
        </w:rPr>
        <w:t>Parmi ces trois projets, le plus avancé est celui porté par ENERTRAG qui prévoit de 4 à 6 éoliennes de 220m de hauteur en bout de pales à moins d’1km de la ligne acadienne et de l’abbaye de l’Etoile (dans la partie « brandes des Tireaux », sud de la ZNIEFF, zone en grande partie « humide à préserver » au titre de l’article L 153-21 du code de l’urbanisme). Cette société semble extrêmement déterminée à mener son projet à son terme puisqu’après avoir tenté d’installer un mat de mesure en décembre dernier, elle a été contrainte de reporter son projet pour le mois d’Aout 2026</w:t>
      </w:r>
      <w:r w:rsidR="006D0159">
        <w:rPr>
          <w:rFonts w:ascii="Times New Roman" w:hAnsi="Times New Roman" w:cs="Times New Roman"/>
          <w:sz w:val="24"/>
          <w:szCs w:val="24"/>
        </w:rPr>
        <w:t xml:space="preserve"> après quelques déboires retentissants</w:t>
      </w:r>
      <w:r>
        <w:rPr>
          <w:rStyle w:val="Appelnotedebasdep"/>
          <w:rFonts w:ascii="Times New Roman" w:hAnsi="Times New Roman" w:cs="Times New Roman"/>
          <w:sz w:val="24"/>
          <w:szCs w:val="24"/>
        </w:rPr>
        <w:footnoteReference w:id="1"/>
      </w:r>
      <w:r>
        <w:rPr>
          <w:rFonts w:ascii="Times New Roman" w:hAnsi="Times New Roman" w:cs="Times New Roman"/>
          <w:sz w:val="24"/>
          <w:szCs w:val="24"/>
        </w:rPr>
        <w:t>.</w:t>
      </w:r>
    </w:p>
    <w:p w14:paraId="1BE4AF2D" w14:textId="31AC5F05" w:rsidR="001E667C" w:rsidRDefault="00000000">
      <w:pPr>
        <w:jc w:val="both"/>
        <w:rPr>
          <w:rFonts w:ascii="Times New Roman" w:hAnsi="Times New Roman" w:cs="Times New Roman"/>
          <w:sz w:val="24"/>
          <w:szCs w:val="24"/>
        </w:rPr>
      </w:pPr>
      <w:r>
        <w:rPr>
          <w:rFonts w:ascii="Times New Roman" w:hAnsi="Times New Roman" w:cs="Times New Roman"/>
          <w:sz w:val="24"/>
          <w:szCs w:val="24"/>
        </w:rPr>
        <w:t xml:space="preserve">La ZNIEFF ciblée est une ZNIEFF de catégorie 1 c’est-à-dire un secteur de très grande richesse patrimoniale (milieux rares ou très représentatifs, espèces protégées…) Elle est qualifiée p 100 du rapport de présentation dans le chapitre 3.1.24 comme parmi les </w:t>
      </w:r>
      <w:r>
        <w:rPr>
          <w:rFonts w:ascii="Times New Roman" w:hAnsi="Times New Roman" w:cs="Times New Roman"/>
          <w:i/>
          <w:iCs/>
          <w:sz w:val="24"/>
          <w:szCs w:val="24"/>
        </w:rPr>
        <w:t>« zones les plus remarquables du territoire »</w:t>
      </w:r>
      <w:r>
        <w:rPr>
          <w:rFonts w:ascii="Times New Roman" w:hAnsi="Times New Roman" w:cs="Times New Roman"/>
          <w:sz w:val="24"/>
          <w:szCs w:val="24"/>
        </w:rPr>
        <w:t xml:space="preserve"> par le cabinet </w:t>
      </w:r>
      <w:proofErr w:type="spellStart"/>
      <w:r>
        <w:rPr>
          <w:rFonts w:ascii="Times New Roman" w:hAnsi="Times New Roman" w:cs="Times New Roman"/>
          <w:sz w:val="24"/>
          <w:szCs w:val="24"/>
        </w:rPr>
        <w:t>Auddicé</w:t>
      </w:r>
      <w:proofErr w:type="spellEnd"/>
      <w:r>
        <w:rPr>
          <w:rFonts w:ascii="Times New Roman" w:hAnsi="Times New Roman" w:cs="Times New Roman"/>
          <w:sz w:val="24"/>
          <w:szCs w:val="24"/>
        </w:rPr>
        <w:t xml:space="preserve"> mais qui s’appuie pour le démontrer sur des </w:t>
      </w:r>
      <w:r w:rsidR="006D0159">
        <w:rPr>
          <w:rFonts w:ascii="Times New Roman" w:hAnsi="Times New Roman" w:cs="Times New Roman"/>
          <w:sz w:val="24"/>
          <w:szCs w:val="24"/>
        </w:rPr>
        <w:t>données</w:t>
      </w:r>
      <w:r>
        <w:rPr>
          <w:rFonts w:ascii="Times New Roman" w:hAnsi="Times New Roman" w:cs="Times New Roman"/>
          <w:sz w:val="24"/>
          <w:szCs w:val="24"/>
        </w:rPr>
        <w:t xml:space="preserve"> un peu anciennes, pour l’avifaune en particulier (ce cabinet se contentant de reprendre les données de 2001) raison pour laquelle notre association s’est attelée à la réalisation d’une synthèse des observations sur 10 ans laissant apparaître 128 espèces différentes dont certaines au statut très protégé (œdicnème</w:t>
      </w:r>
      <w:r w:rsidR="006D0159">
        <w:rPr>
          <w:rFonts w:ascii="Times New Roman" w:hAnsi="Times New Roman" w:cs="Times New Roman"/>
          <w:sz w:val="24"/>
          <w:szCs w:val="24"/>
        </w:rPr>
        <w:t xml:space="preserve"> criard</w:t>
      </w:r>
      <w:r>
        <w:rPr>
          <w:rFonts w:ascii="Times New Roman" w:hAnsi="Times New Roman" w:cs="Times New Roman"/>
          <w:sz w:val="24"/>
          <w:szCs w:val="24"/>
        </w:rPr>
        <w:t xml:space="preserve">, pie grièche écorcheur, bruant jaune, pour ne citer que celles-ci). Cette zone est également traversée par des espèces en migration (grues cendrées, cigognes blanches </w:t>
      </w:r>
      <w:r w:rsidR="006D0159">
        <w:rPr>
          <w:rFonts w:ascii="Times New Roman" w:hAnsi="Times New Roman" w:cs="Times New Roman"/>
          <w:sz w:val="24"/>
          <w:szCs w:val="24"/>
        </w:rPr>
        <w:t>etc.</w:t>
      </w:r>
      <w:r>
        <w:rPr>
          <w:rFonts w:ascii="Times New Roman" w:hAnsi="Times New Roman" w:cs="Times New Roman"/>
          <w:sz w:val="24"/>
          <w:szCs w:val="24"/>
        </w:rPr>
        <w:t xml:space="preserve"> ...).</w:t>
      </w:r>
    </w:p>
    <w:p w14:paraId="2F2101AE" w14:textId="612A3205" w:rsidR="001E667C" w:rsidRDefault="00000000">
      <w:pPr>
        <w:jc w:val="both"/>
        <w:rPr>
          <w:rFonts w:ascii="Times New Roman" w:hAnsi="Times New Roman" w:cs="Times New Roman"/>
          <w:sz w:val="24"/>
          <w:szCs w:val="24"/>
        </w:rPr>
      </w:pPr>
      <w:r>
        <w:rPr>
          <w:rFonts w:ascii="Times New Roman" w:hAnsi="Times New Roman" w:cs="Times New Roman"/>
          <w:sz w:val="24"/>
          <w:szCs w:val="24"/>
        </w:rPr>
        <w:t xml:space="preserve">Même si depuis sa reconnaissance officielle son environnement s’est dégradé du fait de pratiques agricoles peu respectueuses de l’environnement (destruction de haies, mauvais entretiens des mares), elle demeure un corridor naturel de première importance permettant la circulation de nombreuses espèces entre le </w:t>
      </w:r>
      <w:r w:rsidR="006D0159">
        <w:rPr>
          <w:rFonts w:ascii="Times New Roman" w:hAnsi="Times New Roman" w:cs="Times New Roman"/>
          <w:sz w:val="24"/>
          <w:szCs w:val="24"/>
        </w:rPr>
        <w:t>sud-est</w:t>
      </w:r>
      <w:r>
        <w:rPr>
          <w:rFonts w:ascii="Times New Roman" w:hAnsi="Times New Roman" w:cs="Times New Roman"/>
          <w:sz w:val="24"/>
          <w:szCs w:val="24"/>
        </w:rPr>
        <w:t xml:space="preserve"> et le nord-ouest de la commune, en lien avec les secteurs protégés de l’abbaye de l’Etoile et de la ligne acadienne. Un projet éolien d’une telle ampleur constituerait donc une sérieuse menace pour la biodiversité.</w:t>
      </w:r>
    </w:p>
    <w:p w14:paraId="204A29C2" w14:textId="3A2B82E0" w:rsidR="001E667C" w:rsidRDefault="00000000">
      <w:pPr>
        <w:jc w:val="both"/>
        <w:rPr>
          <w:rFonts w:ascii="Times New Roman" w:hAnsi="Times New Roman" w:cs="Times New Roman"/>
          <w:sz w:val="24"/>
          <w:szCs w:val="24"/>
        </w:rPr>
      </w:pPr>
      <w:r>
        <w:rPr>
          <w:rFonts w:ascii="Times New Roman" w:hAnsi="Times New Roman" w:cs="Times New Roman"/>
          <w:sz w:val="24"/>
          <w:szCs w:val="24"/>
        </w:rPr>
        <w:t xml:space="preserve">Les textes en vigueur permettent amplement de telles mesures de protection. Comme le rappelle l’Association AMORCE (cf. fiche technique en annexe 2), peu suspecte d’antipathie envers les promoteurs éoliens, </w:t>
      </w:r>
      <w:r w:rsidR="00757A5F">
        <w:rPr>
          <w:rFonts w:ascii="Times New Roman" w:hAnsi="Times New Roman" w:cs="Times New Roman"/>
          <w:sz w:val="24"/>
          <w:szCs w:val="24"/>
        </w:rPr>
        <w:t>seules sont interdites</w:t>
      </w:r>
      <w:r>
        <w:rPr>
          <w:rFonts w:ascii="Times New Roman" w:hAnsi="Times New Roman" w:cs="Times New Roman"/>
          <w:sz w:val="24"/>
          <w:szCs w:val="24"/>
        </w:rPr>
        <w:t xml:space="preserve"> les positions de principe interdisant les éoliennes sur tout un territoire communal. Mais rien n’</w:t>
      </w:r>
      <w:r w:rsidR="00757A5F">
        <w:rPr>
          <w:rFonts w:ascii="Times New Roman" w:hAnsi="Times New Roman" w:cs="Times New Roman"/>
          <w:sz w:val="24"/>
          <w:szCs w:val="24"/>
        </w:rPr>
        <w:t>empêche</w:t>
      </w:r>
      <w:r>
        <w:rPr>
          <w:rFonts w:ascii="Times New Roman" w:hAnsi="Times New Roman" w:cs="Times New Roman"/>
          <w:sz w:val="24"/>
          <w:szCs w:val="24"/>
        </w:rPr>
        <w:t xml:space="preserve"> de protéger une zone précise et fragile, bien délimitée. Il est aussi possible de s’appuyer sur le code de l’urbanisme et son article L153-21 qui stipule que :</w:t>
      </w:r>
    </w:p>
    <w:p w14:paraId="5830BE22" w14:textId="77777777" w:rsidR="001E667C" w:rsidRDefault="001E667C">
      <w:pPr>
        <w:jc w:val="both"/>
        <w:rPr>
          <w:rFonts w:ascii="Times New Roman" w:hAnsi="Times New Roman" w:cs="Times New Roman"/>
          <w:i/>
          <w:iCs/>
          <w:sz w:val="24"/>
          <w:szCs w:val="24"/>
        </w:rPr>
      </w:pPr>
    </w:p>
    <w:p w14:paraId="60FB0334" w14:textId="77777777" w:rsidR="001E667C" w:rsidRDefault="00000000">
      <w:pPr>
        <w:pStyle w:val="Blocdecitationuser"/>
        <w:jc w:val="both"/>
        <w:rPr>
          <w:rFonts w:ascii="Times New Roman" w:hAnsi="Times New Roman" w:cs="Times New Roman"/>
          <w:i/>
          <w:iCs/>
          <w:sz w:val="24"/>
          <w:szCs w:val="24"/>
        </w:rPr>
      </w:pPr>
      <w:r>
        <w:rPr>
          <w:rFonts w:ascii="Times New Roman" w:hAnsi="Times New Roman" w:cs="Times New Roman"/>
          <w:i/>
          <w:iCs/>
          <w:sz w:val="24"/>
          <w:szCs w:val="24"/>
        </w:rPr>
        <w:lastRenderedPageBreak/>
        <w:t>« Le règlement peut identifier et localiser les éléments de paysage et délimiter les sites et secteurs à protéger pour des motifs d'ordre écologique, notamment pour la préservation, le maintien ou la remise en état des continuités écologiques et définir, le cas échéant, les prescriptions de nature à assurer leur préservation ».</w:t>
      </w:r>
    </w:p>
    <w:p w14:paraId="18B6CE77" w14:textId="77777777" w:rsidR="001E667C" w:rsidRDefault="00000000">
      <w:pPr>
        <w:jc w:val="both"/>
        <w:rPr>
          <w:rFonts w:ascii="Times New Roman" w:hAnsi="Times New Roman" w:cs="Times New Roman"/>
          <w:b/>
          <w:bCs/>
          <w:sz w:val="24"/>
          <w:szCs w:val="24"/>
        </w:rPr>
      </w:pPr>
      <w:r>
        <w:rPr>
          <w:rFonts w:ascii="Times New Roman" w:hAnsi="Times New Roman" w:cs="Times New Roman"/>
          <w:b/>
          <w:bCs/>
          <w:sz w:val="24"/>
          <w:szCs w:val="24"/>
        </w:rPr>
        <w:t xml:space="preserve">Notre ZNIEFF « coche donc toutes les cases » et sa protection est surtout en parfaite cohérence avec la programmation d’une OAP thématique « trame verte et bleue et continuité écologique » prévue par le projet de PLU et dont le principe est consacré par les textes de rangs supérieurs (SRADDDET et SCOT). </w:t>
      </w:r>
    </w:p>
    <w:p w14:paraId="381B6646" w14:textId="77777777" w:rsidR="001E667C" w:rsidRDefault="001E667C">
      <w:pPr>
        <w:jc w:val="both"/>
        <w:rPr>
          <w:rFonts w:ascii="Times New Roman" w:hAnsi="Times New Roman" w:cs="Times New Roman"/>
          <w:b/>
          <w:bCs/>
          <w:sz w:val="24"/>
          <w:szCs w:val="24"/>
        </w:rPr>
      </w:pPr>
    </w:p>
    <w:p w14:paraId="0E2F6A5E" w14:textId="77777777" w:rsidR="001E667C" w:rsidRDefault="00000000">
      <w:pPr>
        <w:pStyle w:val="Titre3"/>
        <w:rPr>
          <w:rFonts w:ascii="Times New Roman" w:hAnsi="Times New Roman" w:cs="Times New Roman"/>
          <w:i/>
          <w:iCs/>
          <w:sz w:val="24"/>
          <w:szCs w:val="24"/>
        </w:rPr>
      </w:pPr>
      <w:bookmarkStart w:id="11" w:name="__RefHeading___Toc558_1806733993"/>
      <w:bookmarkStart w:id="12" w:name="_Toc213868214"/>
      <w:bookmarkEnd w:id="11"/>
      <w:r>
        <w:t>2.2 Une protection de la ZNIEFF en cohérence avec l’OAP thématique « trame verte et bleue et continuité écologique » du projet de PLU</w:t>
      </w:r>
      <w:bookmarkEnd w:id="12"/>
    </w:p>
    <w:p w14:paraId="4C1050F2" w14:textId="34CF6880" w:rsidR="001E667C" w:rsidRDefault="00000000">
      <w:pPr>
        <w:pStyle w:val="Notedebasdepage"/>
        <w:jc w:val="both"/>
        <w:rPr>
          <w:rFonts w:ascii="Times New Roman" w:hAnsi="Times New Roman" w:cs="Times New Roman"/>
          <w:sz w:val="24"/>
          <w:szCs w:val="24"/>
        </w:rPr>
      </w:pPr>
      <w:r>
        <w:rPr>
          <w:rFonts w:ascii="Times New Roman" w:hAnsi="Times New Roman" w:cs="Times New Roman"/>
          <w:sz w:val="24"/>
          <w:szCs w:val="24"/>
        </w:rPr>
        <w:t xml:space="preserve">La municipalité d’Archigny a souhaité accompagner son projet de PLU par une OAP thématique traitant de la « Trame verte et bleue et des continuités écologiques ». Nous ne pouvons qu’approuver ce choix et la sensibilité envers la biodiversité qu’il suppose. En y apportant une sérieuse réserve toutefois qui motive notre proposition 2 formulée ci-après : nous ne comprenons pas la proposition des porteurs du projet de modifier le zonage de la parcelle BD149 de </w:t>
      </w:r>
      <w:proofErr w:type="spellStart"/>
      <w:r>
        <w:rPr>
          <w:rFonts w:ascii="Times New Roman" w:hAnsi="Times New Roman" w:cs="Times New Roman"/>
          <w:sz w:val="24"/>
          <w:szCs w:val="24"/>
        </w:rPr>
        <w:t>Np</w:t>
      </w:r>
      <w:proofErr w:type="spellEnd"/>
      <w:r>
        <w:rPr>
          <w:rFonts w:ascii="Times New Roman" w:hAnsi="Times New Roman" w:cs="Times New Roman"/>
          <w:sz w:val="24"/>
          <w:szCs w:val="24"/>
        </w:rPr>
        <w:t xml:space="preserve"> à A sur la simple demande d’un particulier (p14 du bilan de concertation) pour construire une habitation non loin de son exploitation agricole. Cette classification initiale en </w:t>
      </w:r>
      <w:proofErr w:type="spellStart"/>
      <w:r>
        <w:rPr>
          <w:rFonts w:ascii="Times New Roman" w:hAnsi="Times New Roman" w:cs="Times New Roman"/>
          <w:sz w:val="24"/>
          <w:szCs w:val="24"/>
        </w:rPr>
        <w:t>Np</w:t>
      </w:r>
      <w:proofErr w:type="spellEnd"/>
      <w:r>
        <w:rPr>
          <w:rFonts w:ascii="Times New Roman" w:hAnsi="Times New Roman" w:cs="Times New Roman"/>
          <w:sz w:val="24"/>
          <w:szCs w:val="24"/>
        </w:rPr>
        <w:t xml:space="preserve"> est tout à fait justifiée du fait des caractéristiques du milieu et de sa biodiversité. Elle s’inscrit parfaitement dans la logique de cette OAP tout comme dans celle de la plupart des textes dits de « rangs supérieurs » qui n’encouragent pas franchement le rognage de zones naturelles protégées. Nous </w:t>
      </w:r>
      <w:r w:rsidR="000B65C9">
        <w:rPr>
          <w:rFonts w:ascii="Times New Roman" w:hAnsi="Times New Roman" w:cs="Times New Roman"/>
          <w:sz w:val="24"/>
          <w:szCs w:val="24"/>
        </w:rPr>
        <w:t>émettons</w:t>
      </w:r>
      <w:r>
        <w:rPr>
          <w:rFonts w:ascii="Times New Roman" w:hAnsi="Times New Roman" w:cs="Times New Roman"/>
          <w:sz w:val="24"/>
          <w:szCs w:val="24"/>
        </w:rPr>
        <w:t xml:space="preserve"> donc une deuxième proposition ci-dessous :</w:t>
      </w:r>
    </w:p>
    <w:p w14:paraId="28FE219E" w14:textId="77777777" w:rsidR="001E667C" w:rsidRDefault="001E667C">
      <w:pPr>
        <w:pStyle w:val="Notedebasdepage"/>
        <w:jc w:val="both"/>
        <w:rPr>
          <w:rFonts w:ascii="Times New Roman" w:hAnsi="Times New Roman" w:cs="Times New Roman"/>
          <w:sz w:val="24"/>
          <w:szCs w:val="24"/>
        </w:rPr>
      </w:pPr>
    </w:p>
    <w:p w14:paraId="385C6BBD" w14:textId="77777777" w:rsidR="001E667C" w:rsidRDefault="00000000">
      <w:pPr>
        <w:pStyle w:val="Notedebasdepage"/>
        <w:jc w:val="both"/>
        <w:rPr>
          <w:rFonts w:ascii="Times New Roman" w:hAnsi="Times New Roman" w:cs="Times New Roman"/>
          <w:color w:val="C00000"/>
          <w:sz w:val="24"/>
          <w:szCs w:val="24"/>
        </w:rPr>
      </w:pPr>
      <w:r>
        <w:rPr>
          <w:rFonts w:ascii="Times New Roman" w:hAnsi="Times New Roman" w:cs="Times New Roman"/>
          <w:color w:val="C00000"/>
          <w:sz w:val="24"/>
          <w:szCs w:val="24"/>
        </w:rPr>
        <w:t>Le reclassement de la parcelle BD149 en zone A se traduit par un rétrécissement de la zone N initiale à la demande d’un simple particulier ce qui n’est pas acceptable. Nous demandons donc le maintien du zonage initial au nom de l’intérêt général de préservation des milieux naturels et de la biodiversité</w:t>
      </w:r>
      <w:r>
        <w:t>.</w:t>
      </w:r>
    </w:p>
    <w:p w14:paraId="4C9DF41F" w14:textId="77777777" w:rsidR="001E667C" w:rsidRDefault="001E667C">
      <w:pPr>
        <w:pStyle w:val="Notedebasdepage"/>
        <w:jc w:val="both"/>
        <w:rPr>
          <w:rFonts w:ascii="Times New Roman" w:hAnsi="Times New Roman" w:cs="Times New Roman"/>
          <w:sz w:val="24"/>
          <w:szCs w:val="24"/>
        </w:rPr>
      </w:pPr>
    </w:p>
    <w:p w14:paraId="62AB2785" w14:textId="77777777" w:rsidR="001E667C" w:rsidRDefault="00000000">
      <w:pPr>
        <w:pStyle w:val="Notedebasdepage"/>
        <w:jc w:val="both"/>
        <w:rPr>
          <w:rFonts w:ascii="Times New Roman" w:hAnsi="Times New Roman" w:cs="Times New Roman"/>
          <w:sz w:val="24"/>
          <w:szCs w:val="24"/>
        </w:rPr>
      </w:pPr>
      <w:r>
        <w:rPr>
          <w:rFonts w:ascii="Times New Roman" w:hAnsi="Times New Roman" w:cs="Times New Roman"/>
          <w:sz w:val="24"/>
          <w:szCs w:val="24"/>
        </w:rPr>
        <w:t xml:space="preserve">L’OAP thématique « trame verte et bleue » s’applique sur l’ensemble du territoire et </w:t>
      </w:r>
      <w:r>
        <w:rPr>
          <w:rFonts w:ascii="Times New Roman" w:hAnsi="Times New Roman" w:cs="Times New Roman"/>
          <w:i/>
          <w:iCs/>
          <w:sz w:val="24"/>
          <w:szCs w:val="24"/>
        </w:rPr>
        <w:t>« permet de traduire le PADD, en complément des prescriptions réglementaires, afin d’offrir un meilleur résultat aux objectifs fixés par la commune en matière de Trame Verte et Bleue (TVB) et des corridors écologiques. L'OAP thématique visera notamment à renforcer la place des continuités écologiques du territoire, et plus généralement la place de la nature dans l’évolution du territoire (…) ».</w:t>
      </w:r>
      <w:r>
        <w:rPr>
          <w:rFonts w:ascii="Times New Roman" w:hAnsi="Times New Roman" w:cs="Times New Roman"/>
          <w:sz w:val="24"/>
          <w:szCs w:val="24"/>
        </w:rPr>
        <w:t xml:space="preserve"> </w:t>
      </w:r>
    </w:p>
    <w:p w14:paraId="5B18067C" w14:textId="77777777" w:rsidR="001E667C" w:rsidRDefault="001E667C">
      <w:pPr>
        <w:jc w:val="both"/>
        <w:rPr>
          <w:rFonts w:ascii="Times New Roman" w:hAnsi="Times New Roman" w:cs="Times New Roman"/>
          <w:sz w:val="24"/>
          <w:szCs w:val="24"/>
        </w:rPr>
      </w:pPr>
    </w:p>
    <w:p w14:paraId="43BDB5D6"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L’intérêt de la ZNIEFF des Brandes de la Nivoire et des Tireaux dans cette démarche est bien souligné dans le chapitre 3.1.2 « le patrimoine naturel et la biodiversité » qui souligne son importance en tant qu’élément constitutif de la « trame verte et bleue ».</w:t>
      </w:r>
    </w:p>
    <w:p w14:paraId="5FF5B712"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 xml:space="preserve"> Nous sommes toutefois surpris d’y trouver en caractère gras sur la même page la mention d’un avis du SRCE non référencé qui n’identifierait « pas de risque de fragmentation majeure à l’échelle communale ». Où sont les preuves d’une telle affirmation ? L’artificialisation des sols de la ZNIEFF en cas de projet </w:t>
      </w:r>
      <w:proofErr w:type="spellStart"/>
      <w:r>
        <w:rPr>
          <w:rFonts w:ascii="Times New Roman" w:hAnsi="Times New Roman" w:cs="Times New Roman"/>
          <w:sz w:val="24"/>
          <w:szCs w:val="24"/>
        </w:rPr>
        <w:t>EnR</w:t>
      </w:r>
      <w:proofErr w:type="spellEnd"/>
      <w:r>
        <w:rPr>
          <w:rFonts w:ascii="Times New Roman" w:hAnsi="Times New Roman" w:cs="Times New Roman"/>
          <w:sz w:val="24"/>
          <w:szCs w:val="24"/>
        </w:rPr>
        <w:t xml:space="preserve"> de grande ampleur est un risque qu’il faut prendre au sérieux et la sanctuarisation de cette zone une absolue nécessité. D’où notre troisième proposition formulée ci-après :</w:t>
      </w:r>
    </w:p>
    <w:p w14:paraId="707D0FB1" w14:textId="77777777" w:rsidR="001E667C" w:rsidRDefault="00000000">
      <w:pPr>
        <w:jc w:val="both"/>
        <w:rPr>
          <w:rFonts w:ascii="Times New Roman" w:hAnsi="Times New Roman" w:cs="Times New Roman"/>
          <w:color w:val="C00000"/>
          <w:sz w:val="24"/>
          <w:szCs w:val="24"/>
        </w:rPr>
      </w:pPr>
      <w:r>
        <w:rPr>
          <w:rFonts w:ascii="Times New Roman" w:hAnsi="Times New Roman" w:cs="Times New Roman"/>
          <w:color w:val="C00000"/>
          <w:sz w:val="24"/>
          <w:szCs w:val="24"/>
        </w:rPr>
        <w:lastRenderedPageBreak/>
        <w:t xml:space="preserve">La ZNIEFF des brandes de la Nivoire et des brandes des Tireaux devrait être exclue de tout projet </w:t>
      </w:r>
      <w:proofErr w:type="spellStart"/>
      <w:r>
        <w:rPr>
          <w:rFonts w:ascii="Times New Roman" w:hAnsi="Times New Roman" w:cs="Times New Roman"/>
          <w:color w:val="C00000"/>
          <w:sz w:val="24"/>
          <w:szCs w:val="24"/>
        </w:rPr>
        <w:t>EnR</w:t>
      </w:r>
      <w:proofErr w:type="spellEnd"/>
      <w:r>
        <w:rPr>
          <w:rFonts w:ascii="Times New Roman" w:hAnsi="Times New Roman" w:cs="Times New Roman"/>
          <w:color w:val="C00000"/>
          <w:sz w:val="24"/>
          <w:szCs w:val="24"/>
        </w:rPr>
        <w:t xml:space="preserve"> industriel et notamment de tout équipement même d’intérêt collectif de plus de 12 mètres. En cohérence avec notre proposition 1 formulée p. 7, cela reviendrait à changer le zonage proposé pour la ZNIEFF et de le changer de zone A à </w:t>
      </w:r>
      <w:proofErr w:type="spellStart"/>
      <w:r>
        <w:rPr>
          <w:rFonts w:ascii="Times New Roman" w:hAnsi="Times New Roman" w:cs="Times New Roman"/>
          <w:color w:val="C00000"/>
          <w:sz w:val="24"/>
          <w:szCs w:val="24"/>
        </w:rPr>
        <w:t>Np</w:t>
      </w:r>
      <w:proofErr w:type="spellEnd"/>
      <w:r>
        <w:rPr>
          <w:rFonts w:ascii="Times New Roman" w:hAnsi="Times New Roman" w:cs="Times New Roman"/>
          <w:color w:val="C00000"/>
          <w:sz w:val="24"/>
          <w:szCs w:val="24"/>
        </w:rPr>
        <w:t xml:space="preserve"> </w:t>
      </w:r>
    </w:p>
    <w:p w14:paraId="08CFF78F" w14:textId="77777777" w:rsidR="001E667C" w:rsidRDefault="001E667C">
      <w:pPr>
        <w:jc w:val="both"/>
        <w:rPr>
          <w:rFonts w:ascii="Times New Roman" w:hAnsi="Times New Roman" w:cs="Times New Roman"/>
          <w:color w:val="C00000"/>
          <w:sz w:val="24"/>
          <w:szCs w:val="24"/>
        </w:rPr>
      </w:pPr>
    </w:p>
    <w:p w14:paraId="2D58DEF9"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=&gt; Véritable outil de connaissance scientifique, l’inventaire d’une ZNIEFF n’a pas de valeur juridique directe mais indirecte puisque destiné à éclairer les décisions publiques et privées. C’est donc un élément dont il faut tenir compte dans tout projet d’urbanisme … A condition d’en avoir la volonté politique, ce qui ne semble malheureusement pas le cas comme nous allons le voir à présent.</w:t>
      </w:r>
    </w:p>
    <w:p w14:paraId="456ECEDF" w14:textId="77777777" w:rsidR="001E667C" w:rsidRDefault="001E667C">
      <w:pPr>
        <w:jc w:val="both"/>
        <w:rPr>
          <w:rFonts w:ascii="Times New Roman" w:hAnsi="Times New Roman" w:cs="Times New Roman"/>
          <w:b/>
          <w:bCs/>
          <w:sz w:val="24"/>
          <w:szCs w:val="24"/>
        </w:rPr>
      </w:pPr>
    </w:p>
    <w:p w14:paraId="470327BD" w14:textId="77777777" w:rsidR="001E667C" w:rsidRDefault="00000000">
      <w:pPr>
        <w:pStyle w:val="Titre2"/>
      </w:pPr>
      <w:bookmarkStart w:id="13" w:name="__RefHeading___Toc560_1806733993"/>
      <w:bookmarkStart w:id="14" w:name="_Toc213868215"/>
      <w:bookmarkEnd w:id="13"/>
      <w:r>
        <w:rPr>
          <w:rFonts w:ascii="Times New Roman" w:hAnsi="Times New Roman" w:cs="Times New Roman"/>
          <w:b/>
          <w:bCs/>
        </w:rPr>
        <w:t>3 Un projet de PLU établi sans réelle concertation avec les habitants d’Archigny</w:t>
      </w:r>
      <w:bookmarkEnd w:id="14"/>
    </w:p>
    <w:p w14:paraId="5F18589F" w14:textId="77777777" w:rsidR="001E667C" w:rsidRDefault="00000000">
      <w:pPr>
        <w:pStyle w:val="Titre3"/>
        <w:rPr>
          <w:rFonts w:ascii="Times New Roman" w:hAnsi="Times New Roman" w:cs="Times New Roman"/>
          <w:i/>
          <w:iCs/>
          <w:sz w:val="24"/>
          <w:szCs w:val="24"/>
        </w:rPr>
      </w:pPr>
      <w:bookmarkStart w:id="15" w:name="__RefHeading___Toc562_1806733993"/>
      <w:bookmarkStart w:id="16" w:name="_Toc213868216"/>
      <w:bookmarkEnd w:id="15"/>
      <w:r>
        <w:t>3.1 Les porteurs du projet :  entre revirement de position et refus de communication</w:t>
      </w:r>
      <w:bookmarkEnd w:id="16"/>
    </w:p>
    <w:p w14:paraId="440CB93B"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 xml:space="preserve">A priori hostile au développement éolien et connaissant depuis 2022 le risque d’un projet dans une zone naturelle et patrimoniale à protéger, on aurait pu s’attendre à ce que la municipalité d’Archigny prenne toute mesure nécessaire pour en dissuader la réalisation en intégrant une zone d’exclusion dans le projet de PLU proposé. </w:t>
      </w:r>
    </w:p>
    <w:p w14:paraId="372AF4BC"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 xml:space="preserve">Mais nous avons déjà pu voir qu’il n’en était rien alors que nous sommes intervenus à plusieurs reprises que ce soit auprès de la municipalité (Intervention en conseil le 12 mars 2025, courriers aux élus les 14 mars et 3 avril 2025, rendez-vous avec le maire le 26 mars et le 10 juin 2025) comme de Grand Châtellerault (rendez-vous le 14 avril 2025 avec M. Bonnard conseiller communautaire délégué à l’urbanisme, courrier du 25 juin 2025 au Président de Grand Châtellerault Jean Pierre Abelin) pour nous en inquiéter et tenter de faire apporter les modifications nécessaires. </w:t>
      </w:r>
    </w:p>
    <w:p w14:paraId="05FBA425"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Chacune de nos tentatives se sont hélas soldées par autant d’échecs. Pire, nous nous sommes vu refuser par la municipalité la communication du projet de PLU adopté par le conseil municipal le 9 avril 2025 au motif que :</w:t>
      </w:r>
    </w:p>
    <w:p w14:paraId="21D4DCBC" w14:textId="77777777" w:rsidR="001E667C" w:rsidRDefault="00000000">
      <w:pPr>
        <w:pStyle w:val="Blocdecitationuser"/>
        <w:jc w:val="both"/>
      </w:pPr>
      <w:r>
        <w:rPr>
          <w:rFonts w:ascii="Times New Roman" w:hAnsi="Times New Roman" w:cs="Times New Roman"/>
          <w:sz w:val="24"/>
          <w:szCs w:val="24"/>
        </w:rPr>
        <w:t xml:space="preserve"> </w:t>
      </w:r>
      <w:r>
        <w:rPr>
          <w:rFonts w:ascii="Times New Roman" w:hAnsi="Times New Roman" w:cs="Times New Roman"/>
          <w:i/>
          <w:iCs/>
          <w:sz w:val="24"/>
          <w:szCs w:val="24"/>
        </w:rPr>
        <w:t>« Les documents du PLU sont des documents de travail, ils seront consultables lors de l'enquête publique qui aura lieu à l'automne prochain. Les dates et heures de permanences du commissaire enquêteur seront communiquées par voie de presse et affichage dans la commune »</w:t>
      </w:r>
      <w:r>
        <w:rPr>
          <w:rFonts w:ascii="Times New Roman" w:hAnsi="Times New Roman" w:cs="Times New Roman"/>
          <w:sz w:val="24"/>
          <w:szCs w:val="24"/>
        </w:rPr>
        <w:t xml:space="preserve">. (Mail de la Mairie du 11 juin 2025). </w:t>
      </w:r>
    </w:p>
    <w:p w14:paraId="7E24E219"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Nous avons été obligés de saisir la Commission d’Accès aux Documents Administratifs le 16 juin 2025 pour avoir gain de cause (cf. avis de la CADA en annexe 3).</w:t>
      </w:r>
    </w:p>
    <w:p w14:paraId="6802D60F"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 xml:space="preserve">De façon générale, les modalités de concertation présentées dans le bilan de concertation p 5 n’ont pas toutes été respectées : 1) le site internet dédié n’a jamais vraiment fonctionné et il ne nous a jamais été possible de poser la moindre question ou de formuler la moindre remarque </w:t>
      </w:r>
      <w:r>
        <w:rPr>
          <w:rFonts w:ascii="Times New Roman" w:hAnsi="Times New Roman" w:cs="Times New Roman"/>
          <w:sz w:val="24"/>
          <w:szCs w:val="24"/>
        </w:rPr>
        <w:lastRenderedPageBreak/>
        <w:t xml:space="preserve">par ce biais 2) l’article dans le bulletin municipal date du mois de juin 2025 seulement, c’est-à-dire une fois le projet de PLU arrêté : n’est-ce pas un peu tard ? </w:t>
      </w:r>
    </w:p>
    <w:p w14:paraId="4FDAFCC0"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En définitive, aucune de nos remarques n’a été prise en compte dans l’élaboration du projet de PLU et il est faux de prétendre comme le laisse entendre le PV du conseil municipal d’Archigny du 9 avril 2025 p. 7</w:t>
      </w:r>
    </w:p>
    <w:p w14:paraId="1F1F42E5" w14:textId="77777777" w:rsidR="001E667C" w:rsidRDefault="00000000">
      <w:pPr>
        <w:pStyle w:val="Blocdecitationuser"/>
        <w:jc w:val="both"/>
      </w:pPr>
      <w:r>
        <w:rPr>
          <w:rFonts w:ascii="Times New Roman" w:hAnsi="Times New Roman" w:cs="Times New Roman"/>
          <w:sz w:val="24"/>
          <w:szCs w:val="24"/>
        </w:rPr>
        <w:t xml:space="preserve"> </w:t>
      </w:r>
      <w:r>
        <w:rPr>
          <w:rFonts w:ascii="Times New Roman" w:hAnsi="Times New Roman" w:cs="Times New Roman"/>
          <w:i/>
          <w:iCs/>
          <w:sz w:val="24"/>
          <w:szCs w:val="24"/>
        </w:rPr>
        <w:t>« Que chacune des demandes exprimées (…) était déjà prise en compte dans le PLU en cours d’élaboration ».</w:t>
      </w:r>
      <w:r>
        <w:rPr>
          <w:rFonts w:ascii="Times New Roman" w:hAnsi="Times New Roman" w:cs="Times New Roman"/>
          <w:sz w:val="24"/>
          <w:szCs w:val="24"/>
        </w:rPr>
        <w:t xml:space="preserve"> </w:t>
      </w:r>
    </w:p>
    <w:p w14:paraId="0D56094F" w14:textId="77777777" w:rsidR="001E667C" w:rsidRDefault="00000000">
      <w:pPr>
        <w:jc w:val="both"/>
      </w:pPr>
      <w:r>
        <w:rPr>
          <w:rFonts w:ascii="Times New Roman" w:hAnsi="Times New Roman" w:cs="Times New Roman"/>
          <w:sz w:val="24"/>
          <w:szCs w:val="24"/>
        </w:rPr>
        <w:t>Comment le Conseil Communautaire de Grand Châtellerault invité à s’exprimer sur ce projet de PLU d’Archigny a-t-il pu aller dans le même sens et prétendre qu</w:t>
      </w:r>
      <w:proofErr w:type="gramStart"/>
      <w:r>
        <w:rPr>
          <w:rFonts w:ascii="Times New Roman" w:hAnsi="Times New Roman" w:cs="Times New Roman"/>
          <w:i/>
          <w:iCs/>
          <w:sz w:val="24"/>
          <w:szCs w:val="24"/>
        </w:rPr>
        <w:t>’«</w:t>
      </w:r>
      <w:proofErr w:type="gramEnd"/>
      <w:r>
        <w:rPr>
          <w:rFonts w:ascii="Times New Roman" w:hAnsi="Times New Roman" w:cs="Times New Roman"/>
          <w:i/>
          <w:iCs/>
          <w:sz w:val="24"/>
          <w:szCs w:val="24"/>
        </w:rPr>
        <w:t xml:space="preserve"> aucune observation de nature à remettre en cause les orientations retenues n’ayant été relevées, le Conseil Communautaire considère le bilan favorable et décide de poursuivre la procédure </w:t>
      </w:r>
      <w:r>
        <w:rPr>
          <w:rFonts w:ascii="Times New Roman" w:hAnsi="Times New Roman" w:cs="Times New Roman"/>
          <w:sz w:val="24"/>
          <w:szCs w:val="24"/>
        </w:rPr>
        <w:t xml:space="preserve">» (PV du Conseil Communautaire du 30 juin 2025) ? </w:t>
      </w:r>
    </w:p>
    <w:p w14:paraId="38AFE56E" w14:textId="77777777" w:rsidR="001E667C" w:rsidRDefault="00000000">
      <w:pPr>
        <w:jc w:val="both"/>
      </w:pPr>
      <w:r>
        <w:rPr>
          <w:rFonts w:ascii="Times New Roman" w:hAnsi="Times New Roman" w:cs="Times New Roman"/>
          <w:sz w:val="24"/>
          <w:szCs w:val="24"/>
        </w:rPr>
        <w:t>Puisque ce n’était pas le cas, nous aurions apprécié - au minimum - un sursis à statuer</w:t>
      </w:r>
      <w:r>
        <w:t>.</w:t>
      </w:r>
    </w:p>
    <w:p w14:paraId="4F017C9C" w14:textId="77777777" w:rsidR="001E667C" w:rsidRDefault="001E667C">
      <w:pPr>
        <w:jc w:val="both"/>
        <w:rPr>
          <w:rFonts w:ascii="Times New Roman" w:hAnsi="Times New Roman" w:cs="Times New Roman"/>
          <w:sz w:val="24"/>
          <w:szCs w:val="24"/>
        </w:rPr>
      </w:pPr>
    </w:p>
    <w:p w14:paraId="071649BD" w14:textId="77777777" w:rsidR="001E667C" w:rsidRDefault="00000000">
      <w:pPr>
        <w:pStyle w:val="Titre3"/>
        <w:rPr>
          <w:rFonts w:ascii="Times New Roman" w:hAnsi="Times New Roman" w:cs="Times New Roman"/>
          <w:i/>
          <w:iCs/>
          <w:sz w:val="24"/>
          <w:szCs w:val="24"/>
        </w:rPr>
      </w:pPr>
      <w:bookmarkStart w:id="17" w:name="__RefHeading___Toc564_1806733993"/>
      <w:bookmarkStart w:id="18" w:name="_Toc213868217"/>
      <w:bookmarkEnd w:id="17"/>
      <w:r>
        <w:t xml:space="preserve">3.2 Le cabinet </w:t>
      </w:r>
      <w:proofErr w:type="spellStart"/>
      <w:r>
        <w:t>Auddicé</w:t>
      </w:r>
      <w:proofErr w:type="spellEnd"/>
      <w:r>
        <w:t> : simple assistance ou conseils partisans ?</w:t>
      </w:r>
      <w:bookmarkEnd w:id="18"/>
    </w:p>
    <w:p w14:paraId="7D177BB3"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 xml:space="preserve">Le refus de tout projet éolien par l’actuelle municipalité nous apparaît finalement aujourd’hui comme une simple position de principe et son revirement comme le résultat de jeux d’acteurs suffisamment influents pour peser sur une posture qui a pu être sincère à ses débuts.   Cette seconde hypothèse n’est d’ailleurs pas si fantaisiste quand on sait que le cabinet chargé d’assister la commune d’Archigny dans la réalisation du PLU, </w:t>
      </w:r>
      <w:proofErr w:type="spellStart"/>
      <w:r>
        <w:rPr>
          <w:rFonts w:ascii="Times New Roman" w:hAnsi="Times New Roman" w:cs="Times New Roman"/>
          <w:sz w:val="24"/>
          <w:szCs w:val="24"/>
        </w:rPr>
        <w:t>Auddicé</w:t>
      </w:r>
      <w:proofErr w:type="spellEnd"/>
      <w:r>
        <w:rPr>
          <w:rFonts w:ascii="Times New Roman" w:hAnsi="Times New Roman" w:cs="Times New Roman"/>
          <w:sz w:val="24"/>
          <w:szCs w:val="24"/>
        </w:rPr>
        <w:t xml:space="preserve">, est un partenaire régulier du promoteur ENERTRAG qui convoite les Brandes de la Nivoire et des Tireaux. </w:t>
      </w:r>
    </w:p>
    <w:p w14:paraId="08F16A08"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 xml:space="preserve">Ainsi </w:t>
      </w:r>
      <w:proofErr w:type="spellStart"/>
      <w:r>
        <w:rPr>
          <w:rFonts w:ascii="Times New Roman" w:hAnsi="Times New Roman" w:cs="Times New Roman"/>
          <w:sz w:val="24"/>
          <w:szCs w:val="24"/>
        </w:rPr>
        <w:t>Auddicé</w:t>
      </w:r>
      <w:proofErr w:type="spellEnd"/>
      <w:r>
        <w:rPr>
          <w:rFonts w:ascii="Times New Roman" w:hAnsi="Times New Roman" w:cs="Times New Roman"/>
          <w:sz w:val="24"/>
          <w:szCs w:val="24"/>
        </w:rPr>
        <w:t xml:space="preserve"> a déjà été chargé par ENERTRAG de l’élaboration des Demandes d’Autorisation Environnementales (DAE) pour les projets éoliens </w:t>
      </w:r>
    </w:p>
    <w:p w14:paraId="307D6CE1" w14:textId="77777777" w:rsidR="001E667C" w:rsidRDefault="00000000">
      <w:pPr>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De la Croix de </w:t>
      </w:r>
      <w:proofErr w:type="spellStart"/>
      <w:r>
        <w:rPr>
          <w:rFonts w:ascii="Times New Roman" w:hAnsi="Times New Roman" w:cs="Times New Roman"/>
          <w:sz w:val="24"/>
          <w:szCs w:val="24"/>
        </w:rPr>
        <w:t>Guigual</w:t>
      </w:r>
      <w:proofErr w:type="spellEnd"/>
      <w:r>
        <w:rPr>
          <w:rFonts w:ascii="Times New Roman" w:hAnsi="Times New Roman" w:cs="Times New Roman"/>
          <w:sz w:val="24"/>
          <w:szCs w:val="24"/>
        </w:rPr>
        <w:t xml:space="preserve"> à Derval (Loire Atlantique), </w:t>
      </w:r>
    </w:p>
    <w:p w14:paraId="56C6C183" w14:textId="77777777" w:rsidR="001E667C" w:rsidRDefault="00000000">
      <w:pPr>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De la </w:t>
      </w:r>
      <w:proofErr w:type="spellStart"/>
      <w:r>
        <w:rPr>
          <w:rFonts w:ascii="Times New Roman" w:hAnsi="Times New Roman" w:cs="Times New Roman"/>
          <w:sz w:val="24"/>
          <w:szCs w:val="24"/>
        </w:rPr>
        <w:t>Bacoulette</w:t>
      </w:r>
      <w:proofErr w:type="spellEnd"/>
      <w:r>
        <w:rPr>
          <w:rFonts w:ascii="Times New Roman" w:hAnsi="Times New Roman" w:cs="Times New Roman"/>
          <w:sz w:val="24"/>
          <w:szCs w:val="24"/>
        </w:rPr>
        <w:t xml:space="preserve"> à Ebouleau (Aine), </w:t>
      </w:r>
    </w:p>
    <w:p w14:paraId="21FAAD43" w14:textId="77777777" w:rsidR="001E667C" w:rsidRDefault="00000000">
      <w:pPr>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De Teneur et de Fontaine Louis (Pas de Calais) </w:t>
      </w:r>
    </w:p>
    <w:p w14:paraId="28D5A1AF" w14:textId="77777777" w:rsidR="001E667C" w:rsidRDefault="00000000">
      <w:pPr>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De </w:t>
      </w:r>
      <w:proofErr w:type="spellStart"/>
      <w:r>
        <w:rPr>
          <w:rFonts w:ascii="Times New Roman" w:hAnsi="Times New Roman" w:cs="Times New Roman"/>
          <w:sz w:val="24"/>
          <w:szCs w:val="24"/>
        </w:rPr>
        <w:t>Filescamps</w:t>
      </w:r>
      <w:proofErr w:type="spellEnd"/>
      <w:r>
        <w:rPr>
          <w:rFonts w:ascii="Times New Roman" w:hAnsi="Times New Roman" w:cs="Times New Roman"/>
          <w:sz w:val="24"/>
          <w:szCs w:val="24"/>
        </w:rPr>
        <w:t>-commune de Braches (Somme) </w:t>
      </w:r>
    </w:p>
    <w:p w14:paraId="26A86ED9" w14:textId="77777777" w:rsidR="001E667C" w:rsidRDefault="00000000">
      <w:pPr>
        <w:tabs>
          <w:tab w:val="left" w:pos="390"/>
        </w:tabs>
        <w:ind w:left="-57"/>
        <w:jc w:val="both"/>
        <w:rPr>
          <w:rFonts w:ascii="Times New Roman" w:hAnsi="Times New Roman" w:cs="Times New Roman"/>
          <w:b/>
          <w:bCs/>
          <w:sz w:val="24"/>
          <w:szCs w:val="24"/>
        </w:rPr>
      </w:pPr>
      <w:r>
        <w:rPr>
          <w:rFonts w:ascii="Times New Roman" w:hAnsi="Times New Roman" w:cs="Times New Roman"/>
          <w:b/>
          <w:bCs/>
          <w:sz w:val="24"/>
          <w:szCs w:val="24"/>
        </w:rPr>
        <w:t xml:space="preserve">Dans la commune de Champfleury (Aube) </w:t>
      </w:r>
      <w:proofErr w:type="spellStart"/>
      <w:r>
        <w:rPr>
          <w:rFonts w:ascii="Times New Roman" w:hAnsi="Times New Roman" w:cs="Times New Roman"/>
          <w:b/>
          <w:bCs/>
          <w:sz w:val="24"/>
          <w:szCs w:val="24"/>
        </w:rPr>
        <w:t>Auddicé</w:t>
      </w:r>
      <w:proofErr w:type="spellEnd"/>
      <w:r>
        <w:rPr>
          <w:rFonts w:ascii="Times New Roman" w:hAnsi="Times New Roman" w:cs="Times New Roman"/>
          <w:b/>
          <w:bCs/>
          <w:sz w:val="24"/>
          <w:szCs w:val="24"/>
        </w:rPr>
        <w:t xml:space="preserve"> a été prestataire pour le PLU et pour la DAE du projet éolien du même nom.</w:t>
      </w:r>
    </w:p>
    <w:p w14:paraId="26B13E1F"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 xml:space="preserve">Plus près de chez nous, </w:t>
      </w:r>
      <w:proofErr w:type="spellStart"/>
      <w:r>
        <w:rPr>
          <w:rFonts w:ascii="Times New Roman" w:hAnsi="Times New Roman" w:cs="Times New Roman"/>
          <w:sz w:val="24"/>
          <w:szCs w:val="24"/>
        </w:rPr>
        <w:t>Auddicé</w:t>
      </w:r>
      <w:proofErr w:type="spellEnd"/>
      <w:r>
        <w:rPr>
          <w:rFonts w:ascii="Times New Roman" w:hAnsi="Times New Roman" w:cs="Times New Roman"/>
          <w:sz w:val="24"/>
          <w:szCs w:val="24"/>
        </w:rPr>
        <w:t xml:space="preserve"> a été chargée de la révision allégée du PLU de la commune de </w:t>
      </w:r>
      <w:r>
        <w:rPr>
          <w:rFonts w:ascii="Times New Roman" w:hAnsi="Times New Roman" w:cs="Times New Roman"/>
          <w:b/>
          <w:bCs/>
          <w:sz w:val="24"/>
          <w:szCs w:val="24"/>
        </w:rPr>
        <w:t>Monthoiron</w:t>
      </w:r>
      <w:r>
        <w:rPr>
          <w:rFonts w:ascii="Times New Roman" w:hAnsi="Times New Roman" w:cs="Times New Roman"/>
          <w:sz w:val="24"/>
          <w:szCs w:val="24"/>
        </w:rPr>
        <w:t xml:space="preserve"> pour le rendre compatible avec le</w:t>
      </w:r>
      <w:r>
        <w:rPr>
          <w:rFonts w:ascii="Times New Roman" w:hAnsi="Times New Roman" w:cs="Times New Roman"/>
          <w:b/>
          <w:bCs/>
          <w:sz w:val="24"/>
          <w:szCs w:val="24"/>
        </w:rPr>
        <w:t xml:space="preserve"> projet éolien des Brandes de l’Ozon Sud</w:t>
      </w:r>
      <w:r>
        <w:rPr>
          <w:rFonts w:ascii="Times New Roman" w:hAnsi="Times New Roman" w:cs="Times New Roman"/>
          <w:sz w:val="24"/>
          <w:szCs w:val="24"/>
        </w:rPr>
        <w:t xml:space="preserve"> qui impliquait la réduction d’une protection (secteur naturel protégé)</w:t>
      </w:r>
      <w:r>
        <w:rPr>
          <w:rStyle w:val="Appelnotedebasdep"/>
          <w:rFonts w:ascii="Times New Roman" w:hAnsi="Times New Roman" w:cs="Times New Roman"/>
          <w:sz w:val="24"/>
          <w:szCs w:val="24"/>
        </w:rPr>
        <w:footnoteReference w:id="2"/>
      </w:r>
      <w:r>
        <w:rPr>
          <w:rFonts w:ascii="Times New Roman" w:hAnsi="Times New Roman" w:cs="Times New Roman"/>
          <w:sz w:val="24"/>
          <w:szCs w:val="24"/>
        </w:rPr>
        <w:t xml:space="preserve">. Même si c’était au bénéfice d’un autre promoteur, la fluidité entre une phase amont (révision PLU) et une phase aval (Demande d’Autorisation Environnementale pour les projets éoliens) est avérée et </w:t>
      </w:r>
      <w:proofErr w:type="spellStart"/>
      <w:r>
        <w:rPr>
          <w:rFonts w:ascii="Times New Roman" w:hAnsi="Times New Roman" w:cs="Times New Roman"/>
          <w:sz w:val="24"/>
          <w:szCs w:val="24"/>
        </w:rPr>
        <w:t>Auddicé</w:t>
      </w:r>
      <w:proofErr w:type="spellEnd"/>
      <w:r>
        <w:rPr>
          <w:rFonts w:ascii="Times New Roman" w:hAnsi="Times New Roman" w:cs="Times New Roman"/>
          <w:sz w:val="24"/>
          <w:szCs w:val="24"/>
        </w:rPr>
        <w:t xml:space="preserve"> y a participé activement.</w:t>
      </w:r>
    </w:p>
    <w:p w14:paraId="78A8E315" w14:textId="77777777" w:rsidR="001E667C" w:rsidRDefault="00000000">
      <w:pPr>
        <w:jc w:val="both"/>
        <w:rPr>
          <w:rFonts w:ascii="Times New Roman" w:hAnsi="Times New Roman" w:cs="Times New Roman"/>
          <w:i/>
          <w:iCs/>
          <w:sz w:val="24"/>
          <w:szCs w:val="24"/>
        </w:rPr>
      </w:pPr>
      <w:r>
        <w:rPr>
          <w:rFonts w:ascii="Times New Roman" w:hAnsi="Times New Roman" w:cs="Times New Roman"/>
          <w:sz w:val="24"/>
          <w:szCs w:val="24"/>
        </w:rPr>
        <w:lastRenderedPageBreak/>
        <w:t>Comment dès lors imaginer que ce cabinet puisse avoir conseillé la municipalité d’Archigny en toute impartialité ? Il est d’ailleurs assez symptomatique de relever qu’un des très rares passages du projet où il est question de l’éolien, dans le rapport de présentation p116 prenne des accents quasi promotionnels</w:t>
      </w:r>
      <w:r>
        <w:rPr>
          <w:rStyle w:val="Appelnotedebasdep"/>
          <w:rFonts w:ascii="Times New Roman" w:hAnsi="Times New Roman" w:cs="Times New Roman"/>
          <w:sz w:val="24"/>
          <w:szCs w:val="24"/>
        </w:rPr>
        <w:footnoteReference w:id="3"/>
      </w:r>
      <w:r>
        <w:rPr>
          <w:rFonts w:ascii="Times New Roman" w:hAnsi="Times New Roman" w:cs="Times New Roman"/>
          <w:sz w:val="24"/>
          <w:szCs w:val="24"/>
        </w:rPr>
        <w:t> :</w:t>
      </w:r>
    </w:p>
    <w:p w14:paraId="021C82D6" w14:textId="77777777" w:rsidR="001E667C" w:rsidRDefault="00000000">
      <w:pPr>
        <w:pStyle w:val="Blocdecitationuser"/>
        <w:jc w:val="both"/>
        <w:rPr>
          <w:rFonts w:ascii="Times New Roman" w:hAnsi="Times New Roman" w:cs="Times New Roman"/>
          <w:i/>
          <w:iCs/>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 A Archigny aucun permis pour un parc éolien n’a été déposé. Néanmoins, sur des communes situées à proximité des projets ont été acceptés, témoignant du potentiel que représente cette source d’énergie renouvelable ».</w:t>
      </w:r>
    </w:p>
    <w:p w14:paraId="1AD3F5EE" w14:textId="2105198E" w:rsidR="001E667C" w:rsidRDefault="00000000">
      <w:pPr>
        <w:jc w:val="both"/>
        <w:rPr>
          <w:rFonts w:ascii="Times New Roman" w:hAnsi="Times New Roman" w:cs="Times New Roman"/>
          <w:sz w:val="24"/>
          <w:szCs w:val="24"/>
        </w:rPr>
      </w:pPr>
      <w:r>
        <w:rPr>
          <w:rFonts w:ascii="Times New Roman" w:hAnsi="Times New Roman" w:cs="Times New Roman"/>
          <w:sz w:val="24"/>
          <w:szCs w:val="24"/>
        </w:rPr>
        <w:t xml:space="preserve">Comment a été choisi ce cabinet ? Nul ne le sait car aucune délibération, aucun extrait de PV des conseils municipaux ne précise les critères de sélection de ce prestataire. Tout </w:t>
      </w:r>
      <w:r w:rsidR="00FE2384">
        <w:rPr>
          <w:rFonts w:ascii="Times New Roman" w:hAnsi="Times New Roman" w:cs="Times New Roman"/>
          <w:sz w:val="24"/>
          <w:szCs w:val="24"/>
        </w:rPr>
        <w:t>semble</w:t>
      </w:r>
      <w:r>
        <w:rPr>
          <w:rFonts w:ascii="Times New Roman" w:hAnsi="Times New Roman" w:cs="Times New Roman"/>
          <w:sz w:val="24"/>
          <w:szCs w:val="24"/>
        </w:rPr>
        <w:t xml:space="preserve"> laissé à la discrétion du maire ayant reçu cette délégation par délibération du Conseil Municipal du 8 février 2022. A l‘inverse, la commune voisine Pleumartin su faire preuve de beaucoup plus de transparence en décrivant le processus ayant abouti au choix final de son prestataire (PV du Conseil Municipal du 30 mai 2022) : </w:t>
      </w:r>
      <w:proofErr w:type="spellStart"/>
      <w:r>
        <w:rPr>
          <w:rFonts w:ascii="Times New Roman" w:hAnsi="Times New Roman" w:cs="Times New Roman"/>
          <w:sz w:val="24"/>
          <w:szCs w:val="24"/>
        </w:rPr>
        <w:t>Auddicé</w:t>
      </w:r>
      <w:proofErr w:type="spellEnd"/>
      <w:r>
        <w:rPr>
          <w:rFonts w:ascii="Times New Roman" w:hAnsi="Times New Roman" w:cs="Times New Roman"/>
          <w:sz w:val="24"/>
          <w:szCs w:val="24"/>
        </w:rPr>
        <w:t xml:space="preserve"> a été choisi parmi 4 autres concurrents. </w:t>
      </w:r>
    </w:p>
    <w:p w14:paraId="508E690E"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Il est bien sûr admis que les prestations dont le montant est inférieur à 40 000 euros HT sont assimilés à des marchés publics de faible montant et qu’ils sont dispensés de publicité et de mise en concurrence. Pour notre dossier, la prestation d’</w:t>
      </w:r>
      <w:proofErr w:type="spellStart"/>
      <w:r>
        <w:rPr>
          <w:rFonts w:ascii="Times New Roman" w:hAnsi="Times New Roman" w:cs="Times New Roman"/>
          <w:sz w:val="24"/>
          <w:szCs w:val="24"/>
        </w:rPr>
        <w:t>Auddicé</w:t>
      </w:r>
      <w:proofErr w:type="spellEnd"/>
      <w:r>
        <w:rPr>
          <w:rFonts w:ascii="Times New Roman" w:hAnsi="Times New Roman" w:cs="Times New Roman"/>
          <w:sz w:val="24"/>
          <w:szCs w:val="24"/>
        </w:rPr>
        <w:t xml:space="preserve"> s’élève selon nos sources à 38902.50 euros</w:t>
      </w:r>
      <w:r>
        <w:rPr>
          <w:rStyle w:val="Appelnotedebasdep"/>
          <w:rFonts w:ascii="Times New Roman" w:hAnsi="Times New Roman" w:cs="Times New Roman"/>
          <w:sz w:val="24"/>
          <w:szCs w:val="24"/>
        </w:rPr>
        <w:footnoteReference w:id="4"/>
      </w:r>
      <w:r>
        <w:rPr>
          <w:rFonts w:ascii="Times New Roman" w:hAnsi="Times New Roman" w:cs="Times New Roman"/>
          <w:sz w:val="24"/>
          <w:szCs w:val="24"/>
        </w:rPr>
        <w:t xml:space="preserve"> mais nous avons pu constater que dans le rapport de la Commission Locale de Transfert des Charges du Grand Châtellerault en date du 18 décembre 2024, certains prestataires ont proposé des tarifs bien inférieurs pour la même prestation. Il est dès lors permis de se demander si la municipalité a respecté l’obligation d’utilisation optimale des deniers publics en l’absence (jusqu’à preuve du contraire) de l’établissement de plusieurs devis.</w:t>
      </w:r>
    </w:p>
    <w:p w14:paraId="02611468"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 xml:space="preserve">Toujours est-il que c’est </w:t>
      </w:r>
      <w:proofErr w:type="spellStart"/>
      <w:r>
        <w:rPr>
          <w:rFonts w:ascii="Times New Roman" w:hAnsi="Times New Roman" w:cs="Times New Roman"/>
          <w:sz w:val="24"/>
          <w:szCs w:val="24"/>
        </w:rPr>
        <w:t>Auddicé</w:t>
      </w:r>
      <w:proofErr w:type="spellEnd"/>
      <w:r>
        <w:rPr>
          <w:rFonts w:ascii="Times New Roman" w:hAnsi="Times New Roman" w:cs="Times New Roman"/>
          <w:sz w:val="24"/>
          <w:szCs w:val="24"/>
        </w:rPr>
        <w:t xml:space="preserve"> qui a été choisi peu de temps APRES les premiers contacts avec ENERTRAG puisque le PV du conseil Municipal du 8 février 2022 en fait état p. 6</w:t>
      </w:r>
      <w:r>
        <w:rPr>
          <w:rStyle w:val="Appelnotedebasdep"/>
          <w:rFonts w:ascii="Times New Roman" w:hAnsi="Times New Roman" w:cs="Times New Roman"/>
          <w:sz w:val="24"/>
          <w:szCs w:val="24"/>
        </w:rPr>
        <w:footnoteReference w:id="5"/>
      </w:r>
      <w:r>
        <w:rPr>
          <w:rFonts w:ascii="Times New Roman" w:hAnsi="Times New Roman" w:cs="Times New Roman"/>
          <w:sz w:val="24"/>
          <w:szCs w:val="24"/>
        </w:rPr>
        <w:t>. La coïncidence est pour le moins troublante !</w:t>
      </w:r>
    </w:p>
    <w:p w14:paraId="615896D9"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 xml:space="preserve">Autre élément et non des moindres, notre association a bien entendu utilisé le registre de concertation pour adresser ses remarques aux porteurs du projet et demandé à ce que la ZNIEFF soit mieux protégée des grands projets </w:t>
      </w:r>
      <w:proofErr w:type="spellStart"/>
      <w:r>
        <w:rPr>
          <w:rFonts w:ascii="Times New Roman" w:hAnsi="Times New Roman" w:cs="Times New Roman"/>
          <w:sz w:val="24"/>
          <w:szCs w:val="24"/>
        </w:rPr>
        <w:t>EnR</w:t>
      </w:r>
      <w:proofErr w:type="spellEnd"/>
      <w:r>
        <w:rPr>
          <w:rFonts w:ascii="Times New Roman" w:hAnsi="Times New Roman" w:cs="Times New Roman"/>
          <w:sz w:val="24"/>
          <w:szCs w:val="24"/>
        </w:rPr>
        <w:t xml:space="preserve">, notamment éoliens. La réponse du cabinet </w:t>
      </w:r>
      <w:proofErr w:type="spellStart"/>
      <w:r>
        <w:rPr>
          <w:rFonts w:ascii="Times New Roman" w:hAnsi="Times New Roman" w:cs="Times New Roman"/>
          <w:sz w:val="24"/>
          <w:szCs w:val="24"/>
        </w:rPr>
        <w:t>Auddicé</w:t>
      </w:r>
      <w:proofErr w:type="spellEnd"/>
      <w:r>
        <w:rPr>
          <w:rFonts w:ascii="Times New Roman" w:hAnsi="Times New Roman" w:cs="Times New Roman"/>
          <w:sz w:val="24"/>
          <w:szCs w:val="24"/>
        </w:rPr>
        <w:t xml:space="preserve"> est surprenante : </w:t>
      </w:r>
    </w:p>
    <w:p w14:paraId="1E9FDE19" w14:textId="77777777" w:rsidR="001E667C" w:rsidRDefault="00000000">
      <w:pPr>
        <w:pStyle w:val="Blocdecitationuser"/>
        <w:jc w:val="both"/>
        <w:rPr>
          <w:rFonts w:ascii="Times New Roman" w:hAnsi="Times New Roman" w:cs="Times New Roman"/>
          <w:i/>
          <w:iCs/>
          <w:sz w:val="24"/>
          <w:szCs w:val="24"/>
        </w:rPr>
      </w:pPr>
      <w:r>
        <w:rPr>
          <w:rFonts w:ascii="Times New Roman" w:hAnsi="Times New Roman" w:cs="Times New Roman"/>
          <w:i/>
          <w:iCs/>
          <w:sz w:val="24"/>
          <w:szCs w:val="24"/>
        </w:rPr>
        <w:t>« La loi du 10 mars 2023 qui vise les 100 % d’énergies renouvelables en 2050 a demandé aux communes et intercommunalités d’établir des zones d’accélérations des énergies renouvelables (</w:t>
      </w:r>
      <w:proofErr w:type="spellStart"/>
      <w:r>
        <w:rPr>
          <w:rFonts w:ascii="Times New Roman" w:hAnsi="Times New Roman" w:cs="Times New Roman"/>
          <w:i/>
          <w:iCs/>
          <w:sz w:val="24"/>
          <w:szCs w:val="24"/>
        </w:rPr>
        <w:t>ZAEnR</w:t>
      </w:r>
      <w:proofErr w:type="spellEnd"/>
      <w:r>
        <w:rPr>
          <w:rFonts w:ascii="Times New Roman" w:hAnsi="Times New Roman" w:cs="Times New Roman"/>
          <w:i/>
          <w:iCs/>
          <w:sz w:val="24"/>
          <w:szCs w:val="24"/>
        </w:rPr>
        <w:t>), c’est-à-dire délimiter là où elles souhaitent voir s’implanter prioritairement des projets éoliens, photovoltaïques,</w:t>
      </w:r>
      <w:r>
        <w:rPr>
          <w:rFonts w:ascii="Times New Roman" w:hAnsi="Times New Roman" w:cs="Times New Roman"/>
          <w:sz w:val="24"/>
          <w:szCs w:val="24"/>
        </w:rPr>
        <w:t xml:space="preserve"> </w:t>
      </w:r>
      <w:r>
        <w:rPr>
          <w:rFonts w:ascii="Times New Roman" w:hAnsi="Times New Roman" w:cs="Times New Roman"/>
          <w:i/>
          <w:iCs/>
          <w:sz w:val="24"/>
          <w:szCs w:val="24"/>
        </w:rPr>
        <w:lastRenderedPageBreak/>
        <w:t xml:space="preserve">géothermiques, méthaniseurs, etc. Ces zones ne font pas partie des secteurs identifiés par la commune comme favorables au développement des énergies renouvelables. Les secteurs des Brandes sont concernés par une protection au titre de NATURA 2000. Or les zones d’accélération ne peuvent comprendre des sites NATURA 2000. Concernant les secteurs de l’Abbaye de l’Etoile et de la Ligne Acadienne, les élus ont souhaité encadrer et préserver le patrimoine historique, bâti et paysager en définissant une zone agricole ou naturelle protégée, au sein de laquelle des mesures d’insertion paysagère sont disposées. Le rapport de présentation rappellera que ces secteurs n’ont pas vocation à accueillir des éoliennes en conséquence du patrimoine existant. Les secteurs NATURA 2000 seront préservés en zone </w:t>
      </w:r>
      <w:proofErr w:type="spellStart"/>
      <w:r>
        <w:rPr>
          <w:rFonts w:ascii="Times New Roman" w:hAnsi="Times New Roman" w:cs="Times New Roman"/>
          <w:i/>
          <w:iCs/>
          <w:sz w:val="24"/>
          <w:szCs w:val="24"/>
        </w:rPr>
        <w:t>Np</w:t>
      </w:r>
      <w:proofErr w:type="spellEnd"/>
      <w:r>
        <w:rPr>
          <w:rFonts w:ascii="Times New Roman" w:hAnsi="Times New Roman" w:cs="Times New Roman"/>
          <w:i/>
          <w:iCs/>
          <w:sz w:val="24"/>
          <w:szCs w:val="24"/>
        </w:rPr>
        <w:t xml:space="preserve"> soit naturelle protégée en conséquence des enjeux écologiques ».</w:t>
      </w:r>
    </w:p>
    <w:p w14:paraId="761838B3"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Deux éléments tirés de cet extrait méritent d’être commentés :</w:t>
      </w:r>
    </w:p>
    <w:p w14:paraId="1A442025" w14:textId="77777777" w:rsidR="001E667C" w:rsidRDefault="00000000">
      <w:pPr>
        <w:pStyle w:val="Blocdecitationuser"/>
        <w:ind w:left="0"/>
        <w:jc w:val="both"/>
        <w:rPr>
          <w:rFonts w:ascii="Times New Roman" w:hAnsi="Times New Roman" w:cs="Times New Roman"/>
          <w:i/>
          <w:iCs/>
          <w:sz w:val="24"/>
          <w:szCs w:val="24"/>
        </w:rPr>
      </w:pPr>
      <w:r>
        <w:rPr>
          <w:rFonts w:ascii="Times New Roman" w:hAnsi="Times New Roman" w:cs="Times New Roman"/>
          <w:sz w:val="24"/>
          <w:szCs w:val="24"/>
        </w:rPr>
        <w:t>1) « La loi du 10 mars 2023 qui vise les 100 % d’énergies renouvelables en 2050 a demandé aux communes et intercommunalités d’établir des zones d’accélérations des énergies renouvelables (</w:t>
      </w:r>
      <w:proofErr w:type="spellStart"/>
      <w:r>
        <w:rPr>
          <w:rFonts w:ascii="Times New Roman" w:hAnsi="Times New Roman" w:cs="Times New Roman"/>
          <w:sz w:val="24"/>
          <w:szCs w:val="24"/>
        </w:rPr>
        <w:t>ZAEnR</w:t>
      </w:r>
      <w:proofErr w:type="spellEnd"/>
      <w:r>
        <w:rPr>
          <w:rFonts w:ascii="Times New Roman" w:hAnsi="Times New Roman" w:cs="Times New Roman"/>
          <w:sz w:val="24"/>
          <w:szCs w:val="24"/>
        </w:rPr>
        <w:t>), c’est-à-dire délimiter là où elles souhaitent voir s’implanter prioritairement des projets éoliens, photovoltaïques, géothermiques, méthaniseurs, etc.</w:t>
      </w:r>
    </w:p>
    <w:p w14:paraId="4291DB52"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Dont acte ! Nous aurions en effet apprécié que ce projet de PLU indique précisément où sont situées ces fameuses Zones d’Accélération des Energies Renouvelables. Il en a pourtant bien été question tout d’abord sous la forme d’une « question diverse » lors du Conseil Municipal du 12 juin 2024 :</w:t>
      </w:r>
    </w:p>
    <w:p w14:paraId="7097B53F" w14:textId="77777777" w:rsidR="001E667C" w:rsidRDefault="00000000">
      <w:pPr>
        <w:pStyle w:val="Blocdecitationuser"/>
        <w:jc w:val="both"/>
        <w:rPr>
          <w:rFonts w:ascii="Times New Roman" w:hAnsi="Times New Roman" w:cs="Times New Roman"/>
          <w:sz w:val="24"/>
          <w:szCs w:val="24"/>
        </w:rPr>
      </w:pPr>
      <w:r>
        <w:rPr>
          <w:rFonts w:ascii="Times New Roman" w:hAnsi="Times New Roman" w:cs="Times New Roman"/>
          <w:i/>
          <w:iCs/>
          <w:sz w:val="24"/>
          <w:szCs w:val="24"/>
        </w:rPr>
        <w:t xml:space="preserve">« Du côté des énergies renouvelables, M. ROY annonce que le permis de construire au lieu-dit </w:t>
      </w:r>
      <w:proofErr w:type="spellStart"/>
      <w:r>
        <w:rPr>
          <w:rFonts w:ascii="Times New Roman" w:hAnsi="Times New Roman" w:cs="Times New Roman"/>
          <w:i/>
          <w:iCs/>
          <w:sz w:val="24"/>
          <w:szCs w:val="24"/>
        </w:rPr>
        <w:t>Peterenard</w:t>
      </w:r>
      <w:proofErr w:type="spellEnd"/>
      <w:r>
        <w:rPr>
          <w:rFonts w:ascii="Times New Roman" w:hAnsi="Times New Roman" w:cs="Times New Roman"/>
          <w:i/>
          <w:iCs/>
          <w:sz w:val="24"/>
          <w:szCs w:val="24"/>
        </w:rPr>
        <w:t xml:space="preserve"> a été refusé au nom de l’Etat. Le lieu-dit pourrait être classé en zone </w:t>
      </w:r>
      <w:proofErr w:type="spellStart"/>
      <w:r>
        <w:rPr>
          <w:rFonts w:ascii="Times New Roman" w:hAnsi="Times New Roman" w:cs="Times New Roman"/>
          <w:i/>
          <w:iCs/>
          <w:sz w:val="24"/>
          <w:szCs w:val="24"/>
        </w:rPr>
        <w:t>ZAEnR</w:t>
      </w:r>
      <w:proofErr w:type="spellEnd"/>
      <w:r>
        <w:rPr>
          <w:rFonts w:ascii="Times New Roman" w:hAnsi="Times New Roman" w:cs="Times New Roman"/>
          <w:i/>
          <w:iCs/>
          <w:sz w:val="24"/>
          <w:szCs w:val="24"/>
        </w:rPr>
        <w:t xml:space="preserve"> (Zone d’Accélération pour les Energies Renouvelables). Les autres zones concernées par les </w:t>
      </w:r>
      <w:proofErr w:type="spellStart"/>
      <w:r>
        <w:rPr>
          <w:rFonts w:ascii="Times New Roman" w:hAnsi="Times New Roman" w:cs="Times New Roman"/>
          <w:i/>
          <w:iCs/>
          <w:sz w:val="24"/>
          <w:szCs w:val="24"/>
        </w:rPr>
        <w:t>ZAEnR</w:t>
      </w:r>
      <w:proofErr w:type="spellEnd"/>
      <w:r>
        <w:rPr>
          <w:rFonts w:ascii="Times New Roman" w:hAnsi="Times New Roman" w:cs="Times New Roman"/>
          <w:i/>
          <w:iCs/>
          <w:sz w:val="24"/>
          <w:szCs w:val="24"/>
        </w:rPr>
        <w:t xml:space="preserve"> pourraient se situer sur les anciennes carrières de la </w:t>
      </w:r>
      <w:proofErr w:type="spellStart"/>
      <w:r>
        <w:rPr>
          <w:rFonts w:ascii="Times New Roman" w:hAnsi="Times New Roman" w:cs="Times New Roman"/>
          <w:i/>
          <w:iCs/>
          <w:sz w:val="24"/>
          <w:szCs w:val="24"/>
        </w:rPr>
        <w:t>Bouffonerie</w:t>
      </w:r>
      <w:proofErr w:type="spellEnd"/>
      <w:r>
        <w:rPr>
          <w:rFonts w:ascii="Times New Roman" w:hAnsi="Times New Roman" w:cs="Times New Roman"/>
          <w:i/>
          <w:iCs/>
          <w:sz w:val="24"/>
          <w:szCs w:val="24"/>
        </w:rPr>
        <w:t xml:space="preserve">, le champ communal aux lieux-dits les </w:t>
      </w:r>
      <w:proofErr w:type="spellStart"/>
      <w:r>
        <w:rPr>
          <w:rFonts w:ascii="Times New Roman" w:hAnsi="Times New Roman" w:cs="Times New Roman"/>
          <w:i/>
          <w:iCs/>
          <w:sz w:val="24"/>
          <w:szCs w:val="24"/>
        </w:rPr>
        <w:t>Bouchaux</w:t>
      </w:r>
      <w:proofErr w:type="spellEnd"/>
      <w:r>
        <w:rPr>
          <w:rFonts w:ascii="Times New Roman" w:hAnsi="Times New Roman" w:cs="Times New Roman"/>
          <w:i/>
          <w:iCs/>
          <w:sz w:val="24"/>
          <w:szCs w:val="24"/>
        </w:rPr>
        <w:t xml:space="preserve"> et le terrain se trouvant derrière l’école. M. LEFEVRE propose que les bâtiments communaux comme l’école (toiture, préau, salle d’activité) la salle des fêtes, l’église, le hangar des employés municipaux à </w:t>
      </w:r>
      <w:proofErr w:type="spellStart"/>
      <w:r>
        <w:rPr>
          <w:rFonts w:ascii="Times New Roman" w:hAnsi="Times New Roman" w:cs="Times New Roman"/>
          <w:i/>
          <w:iCs/>
          <w:sz w:val="24"/>
          <w:szCs w:val="24"/>
        </w:rPr>
        <w:t>Chavard</w:t>
      </w:r>
      <w:proofErr w:type="spellEnd"/>
      <w:r>
        <w:rPr>
          <w:rFonts w:ascii="Times New Roman" w:hAnsi="Times New Roman" w:cs="Times New Roman"/>
          <w:i/>
          <w:iCs/>
          <w:sz w:val="24"/>
          <w:szCs w:val="24"/>
        </w:rPr>
        <w:t xml:space="preserve"> vont être présentés également comme ZAER lors de la réunion publique qui aura lieu le 19 juin dans la salle des fêtes »</w:t>
      </w:r>
      <w:r>
        <w:rPr>
          <w:rFonts w:ascii="Times New Roman" w:hAnsi="Times New Roman" w:cs="Times New Roman"/>
          <w:sz w:val="24"/>
          <w:szCs w:val="24"/>
        </w:rPr>
        <w:t>. (PVp.7)</w:t>
      </w:r>
    </w:p>
    <w:p w14:paraId="071137A3"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 xml:space="preserve">Puis lors d’un Conseil Municipal en date du 10 juillet 2024, ces zones ont bien été précisées, même si elles ne concernent que la technologie photovoltaïque et que le rapporteur a bien précisé que </w:t>
      </w:r>
      <w:r>
        <w:rPr>
          <w:rFonts w:ascii="Times New Roman" w:hAnsi="Times New Roman" w:cs="Times New Roman"/>
          <w:i/>
          <w:iCs/>
          <w:sz w:val="24"/>
          <w:szCs w:val="24"/>
        </w:rPr>
        <w:t>« Ces zones d’accélération ne sont pas des zones exclusives. Des projets pourront être autorisés en dehors. A contrario, elles ne figent pas des secteurs en attendant d’éventuels porteurs de projets ».</w:t>
      </w:r>
      <w:r>
        <w:rPr>
          <w:rFonts w:ascii="Times New Roman" w:hAnsi="Times New Roman" w:cs="Times New Roman"/>
          <w:sz w:val="24"/>
          <w:szCs w:val="24"/>
        </w:rPr>
        <w:t xml:space="preserve"> </w:t>
      </w:r>
    </w:p>
    <w:p w14:paraId="3A902488"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 xml:space="preserve">Contrairement donc à ce qu’affirme le cabinet </w:t>
      </w:r>
      <w:proofErr w:type="spellStart"/>
      <w:r>
        <w:rPr>
          <w:rFonts w:ascii="Times New Roman" w:hAnsi="Times New Roman" w:cs="Times New Roman"/>
          <w:sz w:val="24"/>
          <w:szCs w:val="24"/>
        </w:rPr>
        <w:t>Auddicé</w:t>
      </w:r>
      <w:proofErr w:type="spellEnd"/>
      <w:r>
        <w:rPr>
          <w:rFonts w:ascii="Times New Roman" w:hAnsi="Times New Roman" w:cs="Times New Roman"/>
          <w:sz w:val="24"/>
          <w:szCs w:val="24"/>
        </w:rPr>
        <w:t xml:space="preserve">, la présence de </w:t>
      </w:r>
      <w:proofErr w:type="spellStart"/>
      <w:r>
        <w:rPr>
          <w:rFonts w:ascii="Times New Roman" w:hAnsi="Times New Roman" w:cs="Times New Roman"/>
          <w:sz w:val="24"/>
          <w:szCs w:val="24"/>
        </w:rPr>
        <w:t>ZAEnR</w:t>
      </w:r>
      <w:proofErr w:type="spellEnd"/>
      <w:r>
        <w:rPr>
          <w:rFonts w:ascii="Times New Roman" w:hAnsi="Times New Roman" w:cs="Times New Roman"/>
          <w:sz w:val="24"/>
          <w:szCs w:val="24"/>
        </w:rPr>
        <w:t xml:space="preserve"> ne garantit absolument pas que des éoliennes puissent s’implanter en dehors. Nous avons donc besoin de protéger la ZNIEFF des Brandes de la Nivoire et des Tireaux par d’autres biais.</w:t>
      </w:r>
    </w:p>
    <w:p w14:paraId="46D657B6" w14:textId="77777777" w:rsidR="001E667C" w:rsidRDefault="001E667C">
      <w:pPr>
        <w:jc w:val="both"/>
        <w:rPr>
          <w:rFonts w:ascii="Times New Roman" w:hAnsi="Times New Roman" w:cs="Times New Roman"/>
          <w:sz w:val="24"/>
          <w:szCs w:val="24"/>
        </w:rPr>
      </w:pPr>
    </w:p>
    <w:p w14:paraId="27EFC6F2" w14:textId="77777777" w:rsidR="001E667C" w:rsidRDefault="001E667C">
      <w:pPr>
        <w:jc w:val="both"/>
        <w:rPr>
          <w:rFonts w:ascii="Times New Roman" w:hAnsi="Times New Roman" w:cs="Times New Roman"/>
          <w:sz w:val="24"/>
          <w:szCs w:val="24"/>
        </w:rPr>
      </w:pPr>
    </w:p>
    <w:p w14:paraId="34B005FC" w14:textId="77777777" w:rsidR="001E667C" w:rsidRDefault="00000000">
      <w:pPr>
        <w:jc w:val="both"/>
        <w:rPr>
          <w:rFonts w:ascii="Times New Roman" w:hAnsi="Times New Roman" w:cs="Times New Roman"/>
          <w:i/>
          <w:iCs/>
          <w:sz w:val="24"/>
          <w:szCs w:val="24"/>
        </w:rPr>
      </w:pPr>
      <w:r>
        <w:rPr>
          <w:rFonts w:ascii="Times New Roman" w:hAnsi="Times New Roman" w:cs="Times New Roman"/>
          <w:sz w:val="24"/>
          <w:szCs w:val="24"/>
        </w:rPr>
        <w:lastRenderedPageBreak/>
        <w:t xml:space="preserve">2) </w:t>
      </w:r>
      <w:r>
        <w:rPr>
          <w:rFonts w:ascii="Times New Roman" w:hAnsi="Times New Roman" w:cs="Times New Roman"/>
          <w:i/>
          <w:iCs/>
          <w:sz w:val="24"/>
          <w:szCs w:val="24"/>
        </w:rPr>
        <w:t>Les secteurs des Brandes sont concernés par une protection au</w:t>
      </w:r>
      <w:r>
        <w:rPr>
          <w:rFonts w:ascii="Times New Roman" w:hAnsi="Times New Roman" w:cs="Times New Roman"/>
          <w:b/>
          <w:bCs/>
          <w:i/>
          <w:iCs/>
          <w:sz w:val="24"/>
          <w:szCs w:val="24"/>
        </w:rPr>
        <w:t xml:space="preserve"> titre de NATURA 2000.</w:t>
      </w:r>
    </w:p>
    <w:p w14:paraId="5FE266BE" w14:textId="77777777" w:rsidR="001E667C" w:rsidRDefault="00000000">
      <w:pPr>
        <w:jc w:val="both"/>
        <w:rPr>
          <w:b/>
          <w:bCs/>
        </w:rPr>
      </w:pPr>
      <w:r>
        <w:rPr>
          <w:rFonts w:ascii="Times New Roman" w:hAnsi="Times New Roman" w:cs="Times New Roman"/>
          <w:b/>
          <w:bCs/>
          <w:sz w:val="24"/>
          <w:szCs w:val="24"/>
        </w:rPr>
        <w:t>Cette affirmation est purement et simplement fausse et ne répond donc ni correctement ni honnêtement à la question posée.</w:t>
      </w:r>
    </w:p>
    <w:p w14:paraId="0B8C6AD5" w14:textId="77777777" w:rsidR="001E667C" w:rsidRDefault="00000000">
      <w:pPr>
        <w:jc w:val="both"/>
        <w:rPr>
          <w:rFonts w:ascii="Times New Roman" w:hAnsi="Times New Roman" w:cs="Times New Roman"/>
          <w:i/>
          <w:iCs/>
          <w:sz w:val="24"/>
          <w:szCs w:val="24"/>
        </w:rPr>
      </w:pPr>
      <w:r>
        <w:rPr>
          <w:rFonts w:ascii="Times New Roman" w:hAnsi="Times New Roman" w:cs="Times New Roman"/>
          <w:sz w:val="24"/>
          <w:szCs w:val="24"/>
        </w:rPr>
        <w:t xml:space="preserve">Elle nous étonne de la part d’un professionnel qui n’hésite pas à se contredire lui-même en présentant p. 30 du résumé non technique Fig.7 intitulé « localisation de la zone Natura 2000 » un territoire bien éloigné des Brandes en question dans les environs du Plateau de Bellefond ! </w:t>
      </w:r>
    </w:p>
    <w:p w14:paraId="24EB1EC2"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 xml:space="preserve">De telles erreurs ou approximations de la part d’un cabinet spécialisé dans l‘accompagnement des collectivités en matière d’urbanisme et d’environnement peuvent-elles être le fruit du hasard ou de la désinvolture ? Nous avons mentionné à de multiples reprises la dangereuse confusion des genres entretenue par </w:t>
      </w:r>
      <w:proofErr w:type="spellStart"/>
      <w:r>
        <w:rPr>
          <w:rFonts w:ascii="Times New Roman" w:hAnsi="Times New Roman" w:cs="Times New Roman"/>
          <w:sz w:val="24"/>
          <w:szCs w:val="24"/>
        </w:rPr>
        <w:t>Auddicé</w:t>
      </w:r>
      <w:proofErr w:type="spellEnd"/>
      <w:r>
        <w:rPr>
          <w:rFonts w:ascii="Times New Roman" w:hAnsi="Times New Roman" w:cs="Times New Roman"/>
          <w:sz w:val="24"/>
          <w:szCs w:val="24"/>
        </w:rPr>
        <w:t xml:space="preserve"> et lui avons même adressé un courrier (6 mai 2025 cf. annexe 4) qui est resté sans réponse. Pire, toute critique formulée à l’encontre de ce cabinet de conseil semblait malvenue, le maire étant allé jusqu’à modifier la fin de notre article paru dans le bulletin municipal du mois de juin dernier sans notre autorisation ! Nous l’encouragions pourtant de manière plutôt « soft » à reprendre le contrôle de la situation… (cf. article original en annexe 5a à comparer avec l’article modifié en annexe 5b). </w:t>
      </w:r>
    </w:p>
    <w:p w14:paraId="6B07C6D9"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 xml:space="preserve">Quant à nos remarques sur le registre de concertation, </w:t>
      </w:r>
      <w:proofErr w:type="spellStart"/>
      <w:r>
        <w:rPr>
          <w:rFonts w:ascii="Times New Roman" w:hAnsi="Times New Roman" w:cs="Times New Roman"/>
          <w:sz w:val="24"/>
          <w:szCs w:val="24"/>
        </w:rPr>
        <w:t>Auddicé</w:t>
      </w:r>
      <w:proofErr w:type="spellEnd"/>
      <w:r>
        <w:rPr>
          <w:rFonts w:ascii="Times New Roman" w:hAnsi="Times New Roman" w:cs="Times New Roman"/>
          <w:sz w:val="24"/>
          <w:szCs w:val="24"/>
        </w:rPr>
        <w:t xml:space="preserve"> leur a retourné le commentaire laconique suivant p32 du bilan de concertation :</w:t>
      </w:r>
    </w:p>
    <w:p w14:paraId="246472E3" w14:textId="77777777" w:rsidR="001E667C" w:rsidRDefault="00000000">
      <w:pPr>
        <w:pStyle w:val="Blocdecitationuser"/>
        <w:jc w:val="both"/>
        <w:rPr>
          <w:rFonts w:ascii="Times New Roman" w:hAnsi="Times New Roman" w:cs="Times New Roman"/>
          <w:i/>
          <w:iCs/>
          <w:sz w:val="24"/>
          <w:szCs w:val="24"/>
        </w:rPr>
      </w:pPr>
      <w:r>
        <w:rPr>
          <w:rFonts w:ascii="Times New Roman" w:hAnsi="Times New Roman" w:cs="Times New Roman"/>
          <w:i/>
          <w:iCs/>
          <w:sz w:val="24"/>
          <w:szCs w:val="24"/>
        </w:rPr>
        <w:t>« </w:t>
      </w:r>
      <w:proofErr w:type="spellStart"/>
      <w:r>
        <w:rPr>
          <w:rFonts w:ascii="Times New Roman" w:hAnsi="Times New Roman" w:cs="Times New Roman"/>
          <w:i/>
          <w:iCs/>
          <w:sz w:val="24"/>
          <w:szCs w:val="24"/>
        </w:rPr>
        <w:t>Auddicé</w:t>
      </w:r>
      <w:proofErr w:type="spellEnd"/>
      <w:r>
        <w:rPr>
          <w:rFonts w:ascii="Times New Roman" w:hAnsi="Times New Roman" w:cs="Times New Roman"/>
          <w:i/>
          <w:iCs/>
          <w:sz w:val="24"/>
          <w:szCs w:val="24"/>
        </w:rPr>
        <w:t xml:space="preserve"> est un prestataire privé dont les missions sont multiples, tout comme les commanditaires. </w:t>
      </w:r>
      <w:proofErr w:type="spellStart"/>
      <w:r>
        <w:rPr>
          <w:rFonts w:ascii="Times New Roman" w:hAnsi="Times New Roman" w:cs="Times New Roman"/>
          <w:i/>
          <w:iCs/>
          <w:sz w:val="24"/>
          <w:szCs w:val="24"/>
        </w:rPr>
        <w:t>Auddicé</w:t>
      </w:r>
      <w:proofErr w:type="spellEnd"/>
      <w:r>
        <w:rPr>
          <w:rFonts w:ascii="Times New Roman" w:hAnsi="Times New Roman" w:cs="Times New Roman"/>
          <w:i/>
          <w:iCs/>
          <w:sz w:val="24"/>
          <w:szCs w:val="24"/>
        </w:rPr>
        <w:t xml:space="preserve"> a effectivement réalise des missions d’expertises écologiques pour la société ENERTRAG, notamment en 2017 et 2019. </w:t>
      </w:r>
      <w:proofErr w:type="spellStart"/>
      <w:r>
        <w:rPr>
          <w:rFonts w:ascii="Times New Roman" w:hAnsi="Times New Roman" w:cs="Times New Roman"/>
          <w:i/>
          <w:iCs/>
          <w:sz w:val="24"/>
          <w:szCs w:val="24"/>
        </w:rPr>
        <w:t>Auddicé</w:t>
      </w:r>
      <w:proofErr w:type="spellEnd"/>
      <w:r>
        <w:rPr>
          <w:rFonts w:ascii="Times New Roman" w:hAnsi="Times New Roman" w:cs="Times New Roman"/>
          <w:i/>
          <w:iCs/>
          <w:sz w:val="24"/>
          <w:szCs w:val="24"/>
        </w:rPr>
        <w:t xml:space="preserve"> ne travaille pas avec ENERTRAG sur la commune d’Archigny et il n’y a donc pas de conflit d’intérêt ».</w:t>
      </w:r>
    </w:p>
    <w:p w14:paraId="3C983247"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Rappelons que nous n’avons jamais mentionné de « conflit d’intérêt » mais simplement mis en doute l’impartialité de leur prestataire dans sa mission de conseil et d’assistance aux élus municipaux.</w:t>
      </w:r>
    </w:p>
    <w:p w14:paraId="35CD9008" w14:textId="77777777" w:rsidR="001E667C" w:rsidRDefault="00000000">
      <w:pPr>
        <w:jc w:val="both"/>
        <w:rPr>
          <w:rFonts w:ascii="Times New Roman" w:hAnsi="Times New Roman" w:cs="Times New Roman"/>
          <w:sz w:val="24"/>
          <w:szCs w:val="24"/>
        </w:rPr>
      </w:pPr>
      <w:r>
        <w:rPr>
          <w:rFonts w:ascii="Times New Roman" w:hAnsi="Times New Roman" w:cs="Times New Roman"/>
          <w:sz w:val="24"/>
          <w:szCs w:val="24"/>
        </w:rPr>
        <w:t>La concertation autour du projet de révision du PLU n’a pas été suffisante.  Ce n’est que deux ans après la délibération prescrivant la révision du PLU, le 24 avril 2024, qu’une réunion publique a été organisée, réunion assez confidentielle par ailleurs à laquelle nous ne trouvons aucune référence dans les PV des Conseils municipaux la précédant et la succédant ni relayée dans les bulletins municipaux ni dans la presse locale (contrairement à ce qui est allégué dans le bilan de concertation). Cela explique sans doute pourquoi il n’y eut qu’à peine 30 personnes dans la salle ce jour-là. Il en a été de même avec la réunion publique organisée le 19 juin 2024 sur le thème des Zones d’Accélération des Energies Renouvelables qui n’a vu qu’un seul administré y participer.</w:t>
      </w:r>
    </w:p>
    <w:p w14:paraId="2A1B4C43" w14:textId="77777777" w:rsidR="001E667C" w:rsidRDefault="001E667C">
      <w:pPr>
        <w:jc w:val="both"/>
        <w:rPr>
          <w:rFonts w:ascii="Times New Roman" w:hAnsi="Times New Roman" w:cs="Times New Roman"/>
          <w:b/>
          <w:bCs/>
          <w:sz w:val="24"/>
          <w:szCs w:val="24"/>
        </w:rPr>
      </w:pPr>
    </w:p>
    <w:p w14:paraId="74497982" w14:textId="77777777" w:rsidR="001E667C" w:rsidRDefault="00000000">
      <w:pPr>
        <w:jc w:val="both"/>
        <w:rPr>
          <w:rFonts w:ascii="Times New Roman" w:hAnsi="Times New Roman" w:cs="Times New Roman"/>
          <w:sz w:val="24"/>
          <w:szCs w:val="24"/>
        </w:rPr>
      </w:pPr>
      <w:r>
        <w:br w:type="page"/>
      </w:r>
    </w:p>
    <w:p w14:paraId="41C761E5" w14:textId="77777777" w:rsidR="001E667C" w:rsidRDefault="00000000">
      <w:pPr>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Pour conclure, nous réaffirmons avec force que le projet de PLU soumis à enquête publique n’est pas acceptable en l’état, </w:t>
      </w:r>
      <w:r>
        <w:rPr>
          <w:rFonts w:ascii="Times New Roman" w:hAnsi="Times New Roman" w:cs="Times New Roman"/>
          <w:sz w:val="24"/>
          <w:szCs w:val="24"/>
        </w:rPr>
        <w:t>quelles que soient ses qualités formelles par ailleurs</w:t>
      </w:r>
      <w:r>
        <w:rPr>
          <w:rFonts w:ascii="Times New Roman" w:hAnsi="Times New Roman" w:cs="Times New Roman"/>
          <w:b/>
          <w:bCs/>
          <w:sz w:val="24"/>
          <w:szCs w:val="24"/>
        </w:rPr>
        <w:t xml:space="preserve">. </w:t>
      </w:r>
      <w:r>
        <w:rPr>
          <w:rFonts w:ascii="Times New Roman" w:hAnsi="Times New Roman" w:cs="Times New Roman"/>
          <w:sz w:val="24"/>
          <w:szCs w:val="24"/>
        </w:rPr>
        <w:t xml:space="preserve">Laxiste ou imprécis du point de vue de l’encadrement des grands projets </w:t>
      </w:r>
      <w:proofErr w:type="spellStart"/>
      <w:r>
        <w:rPr>
          <w:rFonts w:ascii="Times New Roman" w:hAnsi="Times New Roman" w:cs="Times New Roman"/>
          <w:sz w:val="24"/>
          <w:szCs w:val="24"/>
        </w:rPr>
        <w:t>EnR</w:t>
      </w:r>
      <w:proofErr w:type="spellEnd"/>
      <w:r>
        <w:rPr>
          <w:rFonts w:ascii="Times New Roman" w:hAnsi="Times New Roman" w:cs="Times New Roman"/>
          <w:sz w:val="24"/>
          <w:szCs w:val="24"/>
        </w:rPr>
        <w:t xml:space="preserve">, élaboré sans véritable concertation par des élus assistés d’un cabinet en relation commerciale régulière avec un promoteur désirant s’installer sur la commune dans une zone protégée, il n’offre pas les conditions nécessaires à son appropriation par la population d’Archigny. </w:t>
      </w:r>
    </w:p>
    <w:p w14:paraId="190356CD" w14:textId="77777777" w:rsidR="001E667C" w:rsidRDefault="00000000">
      <w:pPr>
        <w:jc w:val="both"/>
        <w:rPr>
          <w:rFonts w:ascii="Times New Roman" w:hAnsi="Times New Roman" w:cs="Times New Roman"/>
          <w:b/>
          <w:bCs/>
          <w:sz w:val="24"/>
          <w:szCs w:val="24"/>
        </w:rPr>
      </w:pPr>
      <w:r>
        <w:rPr>
          <w:rFonts w:ascii="Times New Roman" w:hAnsi="Times New Roman" w:cs="Times New Roman"/>
          <w:b/>
          <w:bCs/>
          <w:sz w:val="24"/>
          <w:szCs w:val="24"/>
        </w:rPr>
        <w:t xml:space="preserve">Nous demandons donc la prise en compte de nos propositions rappelées ci-dessous : </w:t>
      </w:r>
    </w:p>
    <w:p w14:paraId="3025AA53" w14:textId="77777777" w:rsidR="001E667C" w:rsidRDefault="00000000">
      <w:pPr>
        <w:jc w:val="both"/>
        <w:rPr>
          <w:rFonts w:ascii="Times New Roman" w:hAnsi="Times New Roman" w:cs="Times New Roman"/>
          <w:sz w:val="24"/>
          <w:szCs w:val="24"/>
        </w:rPr>
      </w:pPr>
      <w:r>
        <w:rPr>
          <w:rFonts w:ascii="Times New Roman" w:hAnsi="Times New Roman" w:cs="Times New Roman"/>
          <w:b/>
          <w:bCs/>
          <w:sz w:val="24"/>
          <w:szCs w:val="24"/>
          <w:u w:val="single"/>
        </w:rPr>
        <w:t>Proposition1</w:t>
      </w:r>
      <w:r>
        <w:rPr>
          <w:rFonts w:ascii="Times New Roman" w:hAnsi="Times New Roman" w:cs="Times New Roman"/>
          <w:sz w:val="24"/>
          <w:szCs w:val="24"/>
        </w:rPr>
        <w:t xml:space="preserve"> : Le projet de PLU (PADD, règlement écrit et règlement graphique) devrait comporter des dispositions précises excluant les grands projets </w:t>
      </w:r>
      <w:proofErr w:type="spellStart"/>
      <w:r>
        <w:rPr>
          <w:rFonts w:ascii="Times New Roman" w:hAnsi="Times New Roman" w:cs="Times New Roman"/>
          <w:sz w:val="24"/>
          <w:szCs w:val="24"/>
        </w:rPr>
        <w:t>EnR</w:t>
      </w:r>
      <w:proofErr w:type="spellEnd"/>
      <w:r>
        <w:rPr>
          <w:rFonts w:ascii="Times New Roman" w:hAnsi="Times New Roman" w:cs="Times New Roman"/>
          <w:sz w:val="24"/>
          <w:szCs w:val="24"/>
        </w:rPr>
        <w:t xml:space="preserve"> de certaines zones sensibles strictement délimitées et justifiées (Zones Natura 2000 ou ZNIEFF par exemple) qu’il conviendrait de classer en zones Naturelles Protégées (</w:t>
      </w:r>
      <w:proofErr w:type="spellStart"/>
      <w:r>
        <w:rPr>
          <w:rFonts w:ascii="Times New Roman" w:hAnsi="Times New Roman" w:cs="Times New Roman"/>
          <w:sz w:val="24"/>
          <w:szCs w:val="24"/>
        </w:rPr>
        <w:t>Np</w:t>
      </w:r>
      <w:proofErr w:type="spellEnd"/>
      <w:r>
        <w:rPr>
          <w:rFonts w:ascii="Times New Roman" w:hAnsi="Times New Roman" w:cs="Times New Roman"/>
          <w:sz w:val="24"/>
          <w:szCs w:val="24"/>
        </w:rPr>
        <w:t xml:space="preserve">). Le règlement écrit pourrait préciser que ces zones excluent tout équipement même d’intérêt collectif de plus de 12 mètres de hauteur.  </w:t>
      </w:r>
    </w:p>
    <w:p w14:paraId="3004004E" w14:textId="77777777" w:rsidR="001E667C" w:rsidRDefault="00000000">
      <w:pPr>
        <w:pStyle w:val="Notedebasdepage"/>
        <w:jc w:val="both"/>
        <w:rPr>
          <w:rFonts w:ascii="Times New Roman" w:hAnsi="Times New Roman" w:cs="Times New Roman"/>
          <w:sz w:val="24"/>
          <w:szCs w:val="24"/>
        </w:rPr>
      </w:pPr>
      <w:r>
        <w:rPr>
          <w:rFonts w:ascii="Times New Roman" w:hAnsi="Times New Roman" w:cs="Times New Roman"/>
          <w:b/>
          <w:bCs/>
          <w:sz w:val="24"/>
          <w:szCs w:val="24"/>
          <w:u w:val="single"/>
        </w:rPr>
        <w:t>Proposition 2</w:t>
      </w:r>
      <w:r>
        <w:rPr>
          <w:rFonts w:ascii="Times New Roman" w:hAnsi="Times New Roman" w:cs="Times New Roman"/>
          <w:sz w:val="24"/>
          <w:szCs w:val="24"/>
        </w:rPr>
        <w:t> : Le reclassement de la parcelle BD149 en zone A se traduit par un rétrécissement de la zone N initiale à la demande d’un simple particulier ce qui n’est pas acceptable. Nous demandons donc le maintien du zonage initial au nom de l’intérêt général de préservation des milieux naturels et de la biodiversité.</w:t>
      </w:r>
    </w:p>
    <w:p w14:paraId="248C751F" w14:textId="77777777" w:rsidR="001E667C" w:rsidRDefault="001E667C">
      <w:pPr>
        <w:pStyle w:val="Notedebasdepage"/>
        <w:jc w:val="both"/>
        <w:rPr>
          <w:rFonts w:ascii="Times New Roman" w:hAnsi="Times New Roman" w:cs="Times New Roman"/>
          <w:sz w:val="24"/>
          <w:szCs w:val="24"/>
        </w:rPr>
      </w:pPr>
    </w:p>
    <w:p w14:paraId="3B75F65C" w14:textId="77777777" w:rsidR="001E667C" w:rsidRDefault="00000000">
      <w:pPr>
        <w:jc w:val="both"/>
        <w:rPr>
          <w:rFonts w:ascii="Times New Roman" w:hAnsi="Times New Roman" w:cs="Times New Roman"/>
          <w:sz w:val="24"/>
          <w:szCs w:val="24"/>
        </w:rPr>
      </w:pPr>
      <w:r>
        <w:rPr>
          <w:rFonts w:ascii="Times New Roman" w:hAnsi="Times New Roman" w:cs="Times New Roman"/>
          <w:b/>
          <w:bCs/>
          <w:sz w:val="24"/>
          <w:szCs w:val="24"/>
          <w:u w:val="single"/>
        </w:rPr>
        <w:t>Proposition</w:t>
      </w:r>
      <w:r>
        <w:rPr>
          <w:rFonts w:ascii="Times New Roman" w:hAnsi="Times New Roman" w:cs="Times New Roman"/>
          <w:sz w:val="24"/>
          <w:szCs w:val="24"/>
          <w:u w:val="single"/>
        </w:rPr>
        <w:t> 3</w:t>
      </w:r>
      <w:r>
        <w:rPr>
          <w:rFonts w:ascii="Times New Roman" w:hAnsi="Times New Roman" w:cs="Times New Roman"/>
          <w:sz w:val="24"/>
          <w:szCs w:val="24"/>
        </w:rPr>
        <w:t xml:space="preserve"> : : La ZNIEFF des brandes de la Nivoire et des brandes des Tireaux devrait être exclue de tout projet </w:t>
      </w:r>
      <w:proofErr w:type="spellStart"/>
      <w:r>
        <w:rPr>
          <w:rFonts w:ascii="Times New Roman" w:hAnsi="Times New Roman" w:cs="Times New Roman"/>
          <w:sz w:val="24"/>
          <w:szCs w:val="24"/>
        </w:rPr>
        <w:t>EnR</w:t>
      </w:r>
      <w:proofErr w:type="spellEnd"/>
      <w:r>
        <w:rPr>
          <w:rFonts w:ascii="Times New Roman" w:hAnsi="Times New Roman" w:cs="Times New Roman"/>
          <w:sz w:val="24"/>
          <w:szCs w:val="24"/>
        </w:rPr>
        <w:t xml:space="preserve"> industriel et notamment de tout équipement même d’intérêt collectif de plus de 12 mètres de hauteur. En cohérence avec notre proposition 1, cela reviendrait à changer le zonage proposé pour la ZNIEFF et de le changer de zone A à </w:t>
      </w:r>
      <w:proofErr w:type="spellStart"/>
      <w:r>
        <w:rPr>
          <w:rFonts w:ascii="Times New Roman" w:hAnsi="Times New Roman" w:cs="Times New Roman"/>
          <w:sz w:val="24"/>
          <w:szCs w:val="24"/>
        </w:rPr>
        <w:t>Np</w:t>
      </w:r>
      <w:proofErr w:type="spellEnd"/>
      <w:r>
        <w:rPr>
          <w:rFonts w:ascii="Times New Roman" w:hAnsi="Times New Roman" w:cs="Times New Roman"/>
          <w:sz w:val="24"/>
          <w:szCs w:val="24"/>
        </w:rPr>
        <w:t xml:space="preserve">. </w:t>
      </w:r>
    </w:p>
    <w:p w14:paraId="377907EE" w14:textId="77777777" w:rsidR="001E667C" w:rsidRDefault="001E667C">
      <w:pPr>
        <w:jc w:val="both"/>
        <w:rPr>
          <w:rFonts w:ascii="Times New Roman" w:hAnsi="Times New Roman" w:cs="Times New Roman"/>
          <w:sz w:val="24"/>
          <w:szCs w:val="24"/>
        </w:rPr>
      </w:pPr>
    </w:p>
    <w:p w14:paraId="39320D81" w14:textId="77777777" w:rsidR="001E667C" w:rsidRDefault="00000000">
      <w:pPr>
        <w:spacing w:after="0" w:line="240" w:lineRule="auto"/>
        <w:rPr>
          <w:rFonts w:ascii="Times New Roman" w:hAnsi="Times New Roman" w:cs="Times New Roman"/>
          <w:sz w:val="24"/>
          <w:szCs w:val="24"/>
        </w:rPr>
      </w:pPr>
      <w:r>
        <w:br w:type="page"/>
      </w:r>
    </w:p>
    <w:p w14:paraId="503CD1BF" w14:textId="77777777" w:rsidR="001E667C" w:rsidRDefault="00000000">
      <w:pPr>
        <w:pStyle w:val="Titre4"/>
      </w:pPr>
      <w:bookmarkStart w:id="19" w:name="__RefHeading___Toc651_1806733993"/>
      <w:bookmarkEnd w:id="19"/>
      <w:r>
        <w:lastRenderedPageBreak/>
        <w:t xml:space="preserve">Annexe 1A Fiche de Présentation de la ZNIEFF des Brandes des </w:t>
      </w:r>
      <w:proofErr w:type="spellStart"/>
      <w:r>
        <w:t>Nivoires</w:t>
      </w:r>
      <w:proofErr w:type="spellEnd"/>
      <w:r>
        <w:t xml:space="preserve"> et des brandes des Tireaux</w:t>
      </w:r>
    </w:p>
    <w:p w14:paraId="48477BF4" w14:textId="77777777" w:rsidR="001E667C" w:rsidRDefault="00000000">
      <w:pPr>
        <w:pStyle w:val="Titre4"/>
      </w:pPr>
      <w:r>
        <w:br w:type="page"/>
      </w:r>
    </w:p>
    <w:p w14:paraId="796B2B3C" w14:textId="77777777" w:rsidR="001E667C" w:rsidRDefault="00000000">
      <w:pPr>
        <w:spacing w:after="0" w:line="240" w:lineRule="auto"/>
        <w:rPr>
          <w:rFonts w:ascii="Times New Roman" w:hAnsi="Times New Roman" w:cs="Times New Roman"/>
          <w:sz w:val="24"/>
          <w:szCs w:val="24"/>
        </w:rPr>
      </w:pPr>
      <w:r>
        <w:lastRenderedPageBreak/>
        <w:br w:type="page"/>
      </w:r>
    </w:p>
    <w:p w14:paraId="1F6696B5" w14:textId="77777777" w:rsidR="001E667C" w:rsidRDefault="00000000">
      <w:pPr>
        <w:spacing w:after="0" w:line="240" w:lineRule="auto"/>
        <w:rPr>
          <w:rFonts w:ascii="Times New Roman" w:hAnsi="Times New Roman" w:cs="Times New Roman"/>
          <w:sz w:val="24"/>
          <w:szCs w:val="24"/>
        </w:rPr>
      </w:pPr>
      <w:r>
        <w:lastRenderedPageBreak/>
        <w:br w:type="page"/>
      </w:r>
    </w:p>
    <w:p w14:paraId="3DB0659C" w14:textId="77777777" w:rsidR="001E667C" w:rsidRDefault="00000000">
      <w:pPr>
        <w:spacing w:after="0" w:line="240" w:lineRule="auto"/>
        <w:rPr>
          <w:rFonts w:ascii="Times New Roman" w:hAnsi="Times New Roman" w:cs="Times New Roman"/>
          <w:sz w:val="24"/>
          <w:szCs w:val="24"/>
        </w:rPr>
      </w:pPr>
      <w:r>
        <w:lastRenderedPageBreak/>
        <w:br w:type="page"/>
      </w:r>
    </w:p>
    <w:p w14:paraId="3336F2EE" w14:textId="77777777" w:rsidR="001E667C" w:rsidRDefault="00000000">
      <w:pPr>
        <w:spacing w:after="0" w:line="240" w:lineRule="auto"/>
        <w:rPr>
          <w:rFonts w:ascii="Times New Roman" w:hAnsi="Times New Roman" w:cs="Times New Roman"/>
          <w:sz w:val="24"/>
          <w:szCs w:val="24"/>
        </w:rPr>
      </w:pPr>
      <w:r>
        <w:lastRenderedPageBreak/>
        <w:br w:type="page"/>
      </w:r>
    </w:p>
    <w:p w14:paraId="5E126575" w14:textId="77777777" w:rsidR="001E667C" w:rsidRDefault="00000000">
      <w:pPr>
        <w:spacing w:after="0" w:line="240" w:lineRule="auto"/>
        <w:rPr>
          <w:rFonts w:ascii="Times New Roman" w:hAnsi="Times New Roman" w:cs="Times New Roman"/>
          <w:sz w:val="24"/>
          <w:szCs w:val="24"/>
        </w:rPr>
      </w:pPr>
      <w:r>
        <w:lastRenderedPageBreak/>
        <w:br w:type="page"/>
      </w:r>
    </w:p>
    <w:p w14:paraId="02CB20E9" w14:textId="77777777" w:rsidR="001E667C" w:rsidRDefault="00000000">
      <w:pPr>
        <w:spacing w:after="0" w:line="240" w:lineRule="auto"/>
        <w:rPr>
          <w:rFonts w:ascii="Times New Roman" w:hAnsi="Times New Roman" w:cs="Times New Roman"/>
          <w:sz w:val="24"/>
          <w:szCs w:val="24"/>
        </w:rPr>
      </w:pPr>
      <w:r>
        <w:lastRenderedPageBreak/>
        <w:br w:type="page"/>
      </w:r>
    </w:p>
    <w:p w14:paraId="45BA313C" w14:textId="77777777" w:rsidR="001E667C" w:rsidRDefault="00000000">
      <w:pPr>
        <w:spacing w:after="0" w:line="240" w:lineRule="auto"/>
        <w:rPr>
          <w:rFonts w:ascii="Times New Roman" w:hAnsi="Times New Roman" w:cs="Times New Roman"/>
          <w:sz w:val="24"/>
          <w:szCs w:val="24"/>
        </w:rPr>
      </w:pPr>
      <w:r>
        <w:lastRenderedPageBreak/>
        <w:br w:type="page"/>
      </w:r>
    </w:p>
    <w:p w14:paraId="12FF932F" w14:textId="77777777" w:rsidR="001E667C" w:rsidRDefault="00000000">
      <w:pPr>
        <w:spacing w:after="0" w:line="240" w:lineRule="auto"/>
        <w:rPr>
          <w:rFonts w:ascii="Times New Roman" w:hAnsi="Times New Roman" w:cs="Times New Roman"/>
          <w:sz w:val="24"/>
          <w:szCs w:val="24"/>
        </w:rPr>
      </w:pPr>
      <w:r>
        <w:lastRenderedPageBreak/>
        <w:br w:type="page"/>
      </w:r>
    </w:p>
    <w:p w14:paraId="71BE2805" w14:textId="77777777" w:rsidR="001E667C" w:rsidRDefault="00000000">
      <w:pPr>
        <w:spacing w:after="0" w:line="240" w:lineRule="auto"/>
        <w:rPr>
          <w:rFonts w:ascii="Times New Roman" w:hAnsi="Times New Roman" w:cs="Times New Roman"/>
          <w:sz w:val="24"/>
          <w:szCs w:val="24"/>
        </w:rPr>
      </w:pPr>
      <w:r>
        <w:lastRenderedPageBreak/>
        <w:br w:type="page"/>
      </w:r>
    </w:p>
    <w:p w14:paraId="27123FA1" w14:textId="77777777" w:rsidR="001E667C" w:rsidRDefault="00000000">
      <w:pPr>
        <w:spacing w:after="0" w:line="240" w:lineRule="auto"/>
        <w:rPr>
          <w:rFonts w:ascii="Times New Roman" w:hAnsi="Times New Roman" w:cs="Times New Roman"/>
          <w:sz w:val="24"/>
          <w:szCs w:val="24"/>
        </w:rPr>
      </w:pPr>
      <w:r>
        <w:lastRenderedPageBreak/>
        <w:br w:type="page"/>
      </w:r>
    </w:p>
    <w:p w14:paraId="021FC80D" w14:textId="7A412F85" w:rsidR="001E667C" w:rsidRDefault="00000000">
      <w:pPr>
        <w:pStyle w:val="Titre4"/>
      </w:pPr>
      <w:bookmarkStart w:id="20" w:name="__RefHeading___Toc804_1806733993"/>
      <w:bookmarkEnd w:id="20"/>
      <w:r>
        <w:rPr>
          <w:noProof/>
        </w:rPr>
        <w:lastRenderedPageBreak/>
        <w:drawing>
          <wp:anchor distT="0" distB="0" distL="0" distR="0" simplePos="0" relativeHeight="4" behindDoc="1" locked="0" layoutInCell="1" allowOverlap="1" wp14:anchorId="329EEAE6" wp14:editId="15A64FBA">
            <wp:simplePos x="0" y="0"/>
            <wp:positionH relativeFrom="column">
              <wp:posOffset>-8890</wp:posOffset>
            </wp:positionH>
            <wp:positionV relativeFrom="paragraph">
              <wp:posOffset>672465</wp:posOffset>
            </wp:positionV>
            <wp:extent cx="6064250" cy="6731000"/>
            <wp:effectExtent l="0" t="0" r="0" b="0"/>
            <wp:wrapNone/>
            <wp:docPr id="1" name="Image 1" descr="Une image contenant carte, texte, at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 texte, atlas&#10;&#10;Le contenu généré par l’IA peut être incorrect."/>
                    <pic:cNvPicPr>
                      <a:picLocks noChangeAspect="1" noChangeArrowheads="1"/>
                    </pic:cNvPicPr>
                  </pic:nvPicPr>
                  <pic:blipFill>
                    <a:blip r:embed="rId9"/>
                    <a:stretch>
                      <a:fillRect/>
                    </a:stretch>
                  </pic:blipFill>
                  <pic:spPr bwMode="auto">
                    <a:xfrm>
                      <a:off x="0" y="0"/>
                      <a:ext cx="6064250" cy="6731000"/>
                    </a:xfrm>
                    <a:prstGeom prst="rect">
                      <a:avLst/>
                    </a:prstGeom>
                    <a:noFill/>
                  </pic:spPr>
                </pic:pic>
              </a:graphicData>
            </a:graphic>
          </wp:anchor>
        </w:drawing>
      </w:r>
      <w:r>
        <w:t>Annexe 1b Carte de la ZNIEFF des Brandes des Nivoire et des brandes des Tireaux</w:t>
      </w:r>
      <w:r>
        <w:br w:type="page"/>
      </w:r>
    </w:p>
    <w:p w14:paraId="184A55EB" w14:textId="77777777" w:rsidR="001E667C" w:rsidRDefault="00000000">
      <w:pPr>
        <w:pStyle w:val="Titre4"/>
      </w:pPr>
      <w:bookmarkStart w:id="21" w:name="__RefHeading___Toc806_1806733993"/>
      <w:bookmarkEnd w:id="21"/>
      <w:proofErr w:type="gramStart"/>
      <w:r>
        <w:lastRenderedPageBreak/>
        <w:t>Annexe  2</w:t>
      </w:r>
      <w:proofErr w:type="gramEnd"/>
      <w:r>
        <w:br w:type="page"/>
      </w:r>
    </w:p>
    <w:p w14:paraId="76CEDEE1" w14:textId="77777777" w:rsidR="001E667C" w:rsidRDefault="00000000">
      <w:pPr>
        <w:spacing w:after="0" w:line="240" w:lineRule="auto"/>
        <w:rPr>
          <w:rFonts w:ascii="Times New Roman" w:hAnsi="Times New Roman" w:cs="Times New Roman"/>
          <w:sz w:val="24"/>
          <w:szCs w:val="24"/>
        </w:rPr>
      </w:pPr>
      <w:r>
        <w:lastRenderedPageBreak/>
        <w:br w:type="page"/>
      </w:r>
    </w:p>
    <w:p w14:paraId="79494BA8" w14:textId="77777777" w:rsidR="001E667C" w:rsidRDefault="00000000">
      <w:pPr>
        <w:spacing w:after="0" w:line="240" w:lineRule="auto"/>
        <w:rPr>
          <w:rFonts w:ascii="Times New Roman" w:hAnsi="Times New Roman" w:cs="Times New Roman"/>
          <w:sz w:val="24"/>
          <w:szCs w:val="24"/>
        </w:rPr>
      </w:pPr>
      <w:r>
        <w:lastRenderedPageBreak/>
        <w:br w:type="page"/>
      </w:r>
    </w:p>
    <w:p w14:paraId="0BE857DB" w14:textId="77777777" w:rsidR="001E667C" w:rsidRDefault="00000000">
      <w:pPr>
        <w:spacing w:after="0" w:line="240" w:lineRule="auto"/>
        <w:rPr>
          <w:rFonts w:ascii="Times New Roman" w:hAnsi="Times New Roman" w:cs="Times New Roman"/>
          <w:sz w:val="24"/>
          <w:szCs w:val="24"/>
        </w:rPr>
      </w:pPr>
      <w:r>
        <w:lastRenderedPageBreak/>
        <w:br w:type="page"/>
      </w:r>
    </w:p>
    <w:p w14:paraId="6B7F2EB8" w14:textId="77777777" w:rsidR="001E667C" w:rsidRDefault="00000000">
      <w:pPr>
        <w:spacing w:after="0" w:line="240" w:lineRule="auto"/>
        <w:rPr>
          <w:rFonts w:ascii="Times New Roman" w:hAnsi="Times New Roman" w:cs="Times New Roman"/>
          <w:sz w:val="24"/>
          <w:szCs w:val="24"/>
        </w:rPr>
      </w:pPr>
      <w:r>
        <w:lastRenderedPageBreak/>
        <w:br w:type="page"/>
      </w:r>
    </w:p>
    <w:p w14:paraId="09303199" w14:textId="77777777" w:rsidR="001E667C" w:rsidRDefault="00000000">
      <w:pPr>
        <w:pStyle w:val="Titre4"/>
      </w:pPr>
      <w:bookmarkStart w:id="22" w:name="__RefHeading___Toc808_1806733993"/>
      <w:bookmarkEnd w:id="22"/>
      <w:r>
        <w:lastRenderedPageBreak/>
        <w:t>Annexe 3</w:t>
      </w:r>
    </w:p>
    <w:p w14:paraId="18EB6BAA" w14:textId="77777777" w:rsidR="001E667C" w:rsidRDefault="00000000">
      <w:pPr>
        <w:spacing w:after="0" w:line="240" w:lineRule="auto"/>
        <w:rPr>
          <w:rFonts w:ascii="Times New Roman" w:hAnsi="Times New Roman" w:cs="Times New Roman"/>
          <w:sz w:val="24"/>
          <w:szCs w:val="24"/>
        </w:rPr>
      </w:pPr>
      <w:r>
        <w:br w:type="page"/>
      </w:r>
    </w:p>
    <w:p w14:paraId="1A8E0B43" w14:textId="77777777" w:rsidR="001E667C" w:rsidRDefault="00000000">
      <w:pPr>
        <w:spacing w:after="0" w:line="240" w:lineRule="auto"/>
        <w:rPr>
          <w:rFonts w:ascii="Times New Roman" w:hAnsi="Times New Roman" w:cs="Times New Roman"/>
          <w:sz w:val="24"/>
          <w:szCs w:val="24"/>
        </w:rPr>
      </w:pPr>
      <w:r>
        <w:lastRenderedPageBreak/>
        <w:br w:type="page"/>
      </w:r>
    </w:p>
    <w:p w14:paraId="5652CD26" w14:textId="77777777" w:rsidR="001E667C" w:rsidRDefault="00000000">
      <w:pPr>
        <w:spacing w:after="0" w:line="240" w:lineRule="auto"/>
        <w:rPr>
          <w:rFonts w:ascii="Times New Roman" w:hAnsi="Times New Roman" w:cs="Times New Roman"/>
          <w:sz w:val="24"/>
          <w:szCs w:val="24"/>
        </w:rPr>
      </w:pPr>
      <w:r>
        <w:lastRenderedPageBreak/>
        <w:br w:type="page"/>
      </w:r>
    </w:p>
    <w:p w14:paraId="41951368" w14:textId="77777777" w:rsidR="001E667C" w:rsidRDefault="00000000">
      <w:pPr>
        <w:pStyle w:val="Titre4"/>
      </w:pPr>
      <w:bookmarkStart w:id="23" w:name="__RefHeading___Toc810_1806733993"/>
      <w:bookmarkEnd w:id="23"/>
      <w:r>
        <w:lastRenderedPageBreak/>
        <w:t>Annexe 4</w:t>
      </w:r>
    </w:p>
    <w:p w14:paraId="0F164624" w14:textId="77777777" w:rsidR="001E667C" w:rsidRDefault="00000000">
      <w:pPr>
        <w:spacing w:after="0" w:line="240" w:lineRule="auto"/>
        <w:rPr>
          <w:rFonts w:ascii="Times New Roman" w:hAnsi="Times New Roman" w:cs="Times New Roman"/>
          <w:sz w:val="24"/>
          <w:szCs w:val="24"/>
        </w:rPr>
      </w:pPr>
      <w:r>
        <w:rPr>
          <w:noProof/>
        </w:rPr>
        <w:drawing>
          <wp:inline distT="0" distB="0" distL="0" distR="0" wp14:anchorId="284D41B4" wp14:editId="36DE5388">
            <wp:extent cx="5658485" cy="7182485"/>
            <wp:effectExtent l="0" t="0" r="0" b="0"/>
            <wp:docPr id="2" name="Image3" descr="Une image contenant texte, lettr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Une image contenant texte, lettre, Police, capture d’écran&#10;&#10;Le contenu généré par l’IA peut être incorrect."/>
                    <pic:cNvPicPr>
                      <a:picLocks noChangeAspect="1" noChangeArrowheads="1"/>
                    </pic:cNvPicPr>
                  </pic:nvPicPr>
                  <pic:blipFill>
                    <a:blip r:embed="rId10"/>
                    <a:stretch>
                      <a:fillRect/>
                    </a:stretch>
                  </pic:blipFill>
                  <pic:spPr bwMode="auto">
                    <a:xfrm>
                      <a:off x="0" y="0"/>
                      <a:ext cx="5658485" cy="7182485"/>
                    </a:xfrm>
                    <a:prstGeom prst="rect">
                      <a:avLst/>
                    </a:prstGeom>
                    <a:noFill/>
                  </pic:spPr>
                </pic:pic>
              </a:graphicData>
            </a:graphic>
          </wp:inline>
        </w:drawing>
      </w:r>
    </w:p>
    <w:p w14:paraId="648D7FE2" w14:textId="77777777" w:rsidR="001E667C" w:rsidRDefault="00000000">
      <w:pPr>
        <w:spacing w:after="0" w:line="240" w:lineRule="auto"/>
        <w:rPr>
          <w:rFonts w:ascii="Times New Roman" w:hAnsi="Times New Roman" w:cs="Times New Roman"/>
          <w:sz w:val="24"/>
          <w:szCs w:val="24"/>
        </w:rPr>
      </w:pPr>
      <w:r>
        <w:br w:type="page"/>
      </w:r>
    </w:p>
    <w:p w14:paraId="236FF2C5" w14:textId="77777777" w:rsidR="001E667C" w:rsidRDefault="00000000">
      <w:pPr>
        <w:pStyle w:val="Titre4"/>
      </w:pPr>
      <w:bookmarkStart w:id="24" w:name="__RefHeading___Toc812_1806733993"/>
      <w:bookmarkEnd w:id="24"/>
      <w:r>
        <w:lastRenderedPageBreak/>
        <w:t>Annexe 5A</w:t>
      </w:r>
    </w:p>
    <w:p w14:paraId="18C1381A" w14:textId="77777777" w:rsidR="001E667C" w:rsidRDefault="00000000">
      <w:r>
        <w:rPr>
          <w:noProof/>
        </w:rPr>
        <w:drawing>
          <wp:inline distT="0" distB="0" distL="0" distR="0" wp14:anchorId="0A376AA4" wp14:editId="0B02CE14">
            <wp:extent cx="6565900" cy="7205345"/>
            <wp:effectExtent l="0" t="0" r="0" b="0"/>
            <wp:docPr id="3" name="Image4" descr="Une image contenant texte, Police, capture d’écran, lett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Une image contenant texte, Police, capture d’écran, lettre&#10;&#10;Le contenu généré par l’IA peut être incorrect."/>
                    <pic:cNvPicPr>
                      <a:picLocks noChangeAspect="1" noChangeArrowheads="1"/>
                    </pic:cNvPicPr>
                  </pic:nvPicPr>
                  <pic:blipFill>
                    <a:blip r:embed="rId11"/>
                    <a:stretch>
                      <a:fillRect/>
                    </a:stretch>
                  </pic:blipFill>
                  <pic:spPr bwMode="auto">
                    <a:xfrm>
                      <a:off x="0" y="0"/>
                      <a:ext cx="6565900" cy="7205345"/>
                    </a:xfrm>
                    <a:prstGeom prst="rect">
                      <a:avLst/>
                    </a:prstGeom>
                    <a:noFill/>
                  </pic:spPr>
                </pic:pic>
              </a:graphicData>
            </a:graphic>
          </wp:inline>
        </w:drawing>
      </w:r>
      <w:r>
        <w:br w:type="page"/>
      </w:r>
    </w:p>
    <w:p w14:paraId="4791EA54" w14:textId="77777777" w:rsidR="001E667C" w:rsidRDefault="00000000">
      <w:pPr>
        <w:pStyle w:val="Titre4"/>
      </w:pPr>
      <w:bookmarkStart w:id="25" w:name="__RefHeading___Toc814_1806733993"/>
      <w:bookmarkEnd w:id="25"/>
      <w:r>
        <w:lastRenderedPageBreak/>
        <w:t>Annexe 5B</w:t>
      </w:r>
    </w:p>
    <w:p w14:paraId="43D76AC9" w14:textId="77777777" w:rsidR="001E667C" w:rsidRDefault="00000000">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3" behindDoc="1" locked="0" layoutInCell="1" allowOverlap="1" wp14:anchorId="05A88719" wp14:editId="2D53758B">
            <wp:simplePos x="0" y="0"/>
            <wp:positionH relativeFrom="column">
              <wp:posOffset>791845</wp:posOffset>
            </wp:positionH>
            <wp:positionV relativeFrom="paragraph">
              <wp:posOffset>34290</wp:posOffset>
            </wp:positionV>
            <wp:extent cx="4102100" cy="8681085"/>
            <wp:effectExtent l="0" t="0" r="0" b="0"/>
            <wp:wrapNone/>
            <wp:docPr id="4" name="Image 2" descr="Une image contenant texte, capture d’écran, Police, lett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 descr="Une image contenant texte, capture d’écran, Police, lettre&#10;&#10;Le contenu généré par l’IA peut être incorrect."/>
                    <pic:cNvPicPr>
                      <a:picLocks noChangeAspect="1" noChangeArrowheads="1"/>
                    </pic:cNvPicPr>
                  </pic:nvPicPr>
                  <pic:blipFill>
                    <a:blip r:embed="rId12"/>
                    <a:stretch>
                      <a:fillRect/>
                    </a:stretch>
                  </pic:blipFill>
                  <pic:spPr bwMode="auto">
                    <a:xfrm>
                      <a:off x="0" y="0"/>
                      <a:ext cx="4102100" cy="8681085"/>
                    </a:xfrm>
                    <a:prstGeom prst="rect">
                      <a:avLst/>
                    </a:prstGeom>
                    <a:noFill/>
                  </pic:spPr>
                </pic:pic>
              </a:graphicData>
            </a:graphic>
          </wp:anchor>
        </w:drawing>
      </w:r>
    </w:p>
    <w:p w14:paraId="3A288BCB" w14:textId="77777777" w:rsidR="001E667C" w:rsidRDefault="001E667C">
      <w:pPr>
        <w:spacing w:after="0" w:line="240" w:lineRule="auto"/>
        <w:rPr>
          <w:rFonts w:ascii="Times New Roman" w:hAnsi="Times New Roman" w:cs="Times New Roman"/>
          <w:sz w:val="24"/>
          <w:szCs w:val="24"/>
        </w:rPr>
      </w:pPr>
    </w:p>
    <w:p w14:paraId="4087BE5E" w14:textId="77777777" w:rsidR="001E667C" w:rsidRDefault="001E667C">
      <w:pPr>
        <w:spacing w:after="0" w:line="240" w:lineRule="auto"/>
        <w:rPr>
          <w:rFonts w:ascii="Times New Roman" w:hAnsi="Times New Roman" w:cs="Times New Roman"/>
          <w:sz w:val="24"/>
          <w:szCs w:val="24"/>
        </w:rPr>
      </w:pPr>
    </w:p>
    <w:sectPr w:rsidR="001E667C">
      <w:footerReference w:type="default" r:id="rId13"/>
      <w:pgSz w:w="11906" w:h="16838"/>
      <w:pgMar w:top="1417" w:right="1417" w:bottom="1417" w:left="1417" w:header="0" w:footer="708"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AE4F6" w14:textId="77777777" w:rsidR="00133C0D" w:rsidRDefault="00133C0D">
      <w:pPr>
        <w:spacing w:after="0" w:line="240" w:lineRule="auto"/>
      </w:pPr>
      <w:r>
        <w:separator/>
      </w:r>
    </w:p>
  </w:endnote>
  <w:endnote w:type="continuationSeparator" w:id="0">
    <w:p w14:paraId="5CCDD731" w14:textId="77777777" w:rsidR="00133C0D" w:rsidRDefault="00133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altName w:val="Calibri"/>
    <w:charset w:val="01"/>
    <w:family w:val="auto"/>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891361"/>
      <w:docPartObj>
        <w:docPartGallery w:val="Page Numbers (Bottom of Page)"/>
        <w:docPartUnique/>
      </w:docPartObj>
    </w:sdtPr>
    <w:sdtContent>
      <w:p w14:paraId="18CCB633" w14:textId="77777777" w:rsidR="001E667C" w:rsidRDefault="00000000">
        <w:pPr>
          <w:pStyle w:val="Pieddepage"/>
          <w:jc w:val="center"/>
        </w:pPr>
        <w:r>
          <w:fldChar w:fldCharType="begin"/>
        </w:r>
        <w:r>
          <w:instrText xml:space="preserve"> PAGE </w:instrText>
        </w:r>
        <w:r>
          <w:fldChar w:fldCharType="separate"/>
        </w:r>
        <w:r>
          <w:t>38</w:t>
        </w:r>
        <w:r>
          <w:fldChar w:fldCharType="end"/>
        </w:r>
      </w:p>
    </w:sdtContent>
  </w:sdt>
  <w:p w14:paraId="00767C00" w14:textId="77777777" w:rsidR="001E667C" w:rsidRDefault="001E667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E8EAF" w14:textId="77777777" w:rsidR="00133C0D" w:rsidRDefault="00133C0D">
      <w:r>
        <w:separator/>
      </w:r>
    </w:p>
  </w:footnote>
  <w:footnote w:type="continuationSeparator" w:id="0">
    <w:p w14:paraId="70098C73" w14:textId="77777777" w:rsidR="00133C0D" w:rsidRDefault="00133C0D">
      <w:r>
        <w:continuationSeparator/>
      </w:r>
    </w:p>
  </w:footnote>
  <w:footnote w:id="1">
    <w:p w14:paraId="476821B8" w14:textId="185AED21" w:rsidR="001E667C" w:rsidRDefault="00000000">
      <w:pPr>
        <w:pStyle w:val="Notedebasdepage"/>
        <w:jc w:val="both"/>
      </w:pPr>
      <w:r>
        <w:rPr>
          <w:rStyle w:val="Caractresdenotedebasdepage"/>
        </w:rPr>
        <w:footnoteRef/>
      </w:r>
      <w:r>
        <w:t xml:space="preserve"> Contrainte par les réactions du collectif Bas les Pales après que leur cheffe de projet a laissé entendre que le nombre d’éoliennes pourrait être déterminé en fonction du degré de résistance des habitants d’Archigny (propos </w:t>
      </w:r>
      <w:r w:rsidR="006D0159">
        <w:t>corroborés</w:t>
      </w:r>
      <w:r>
        <w:t xml:space="preserve"> par écrit par le responsable régional d’ENERTRAG</w:t>
      </w:r>
      <w:r w:rsidR="006D0159">
        <w:t> !</w:t>
      </w:r>
      <w:r>
        <w:t>)</w:t>
      </w:r>
    </w:p>
  </w:footnote>
  <w:footnote w:id="2">
    <w:p w14:paraId="00E259BA" w14:textId="77777777" w:rsidR="001E667C" w:rsidRDefault="00000000">
      <w:pPr>
        <w:pStyle w:val="Notedebasdepage"/>
        <w:jc w:val="both"/>
      </w:pPr>
      <w:r>
        <w:rPr>
          <w:rStyle w:val="Caractresdenotedebasdepage"/>
        </w:rPr>
        <w:footnoteRef/>
      </w:r>
      <w:r>
        <w:t xml:space="preserve"> Ces éléments sont disponibles dans le rapport d’enquête publique </w:t>
      </w:r>
      <w:hyperlink r:id="rId1">
        <w:r w:rsidR="001E667C">
          <w:rPr>
            <w:rStyle w:val="Lienhypertexte"/>
          </w:rPr>
          <w:t>3.RapportEnquêteMonthoiron.pdf</w:t>
        </w:r>
      </w:hyperlink>
      <w:r>
        <w:t xml:space="preserve"> mais surtout dans les modifications apportées au règlement écrit </w:t>
      </w:r>
      <w:hyperlink r:id="rId2">
        <w:r w:rsidR="001E667C">
          <w:rPr>
            <w:rStyle w:val="Lienhypertexte"/>
          </w:rPr>
          <w:t>Commune</w:t>
        </w:r>
      </w:hyperlink>
      <w:r>
        <w:t xml:space="preserve"> </w:t>
      </w:r>
    </w:p>
  </w:footnote>
  <w:footnote w:id="3">
    <w:p w14:paraId="0698EBCC" w14:textId="77777777" w:rsidR="001E667C" w:rsidRDefault="00000000">
      <w:pPr>
        <w:pStyle w:val="Notedebasdepage"/>
        <w:jc w:val="both"/>
      </w:pPr>
      <w:r>
        <w:rPr>
          <w:rStyle w:val="Caractresdenotedebasdepage"/>
        </w:rPr>
        <w:footnoteRef/>
      </w:r>
      <w:r>
        <w:t xml:space="preserve"> Accents promotionnels que l’on retrouve aussi pp. 15 et 160 du rapport de présentation du PLU de la commune de SAIX dont ils ont eu la charge.</w:t>
      </w:r>
    </w:p>
  </w:footnote>
  <w:footnote w:id="4">
    <w:p w14:paraId="339A9F91" w14:textId="77777777" w:rsidR="001E667C" w:rsidRDefault="00000000">
      <w:pPr>
        <w:pStyle w:val="Notedebasdepage"/>
        <w:jc w:val="both"/>
      </w:pPr>
      <w:r>
        <w:rPr>
          <w:rStyle w:val="Caractresdenotedebasdepage"/>
        </w:rPr>
        <w:footnoteRef/>
      </w:r>
      <w:r>
        <w:t xml:space="preserve"> Auddicé intervient comme conseil pour l’élaboration des PLU d’autres communes du Grand Châtellerault pour les mêmes montants qui « flirtent » tous avec le seuil fatidique des 40 000 euros : Lencloître (37745 euros) ; Scorbé Clairvaux (38380 Euros). Mention particulière à Pleumartin avec …39985 euros ! (Source : </w:t>
      </w:r>
      <w:r>
        <w:rPr>
          <w:i/>
          <w:iCs/>
        </w:rPr>
        <w:t>rapport de la Commission Locale de Transfert des Charges de Grand Châtellerault du 18 décembre 2024</w:t>
      </w:r>
      <w:r>
        <w:t>)</w:t>
      </w:r>
    </w:p>
  </w:footnote>
  <w:footnote w:id="5">
    <w:p w14:paraId="4DE85453" w14:textId="77777777" w:rsidR="001E667C" w:rsidRDefault="00000000">
      <w:pPr>
        <w:pStyle w:val="Notedebasdepage"/>
        <w:jc w:val="both"/>
        <w:rPr>
          <w:i/>
          <w:iCs/>
        </w:rPr>
      </w:pPr>
      <w:r>
        <w:rPr>
          <w:rStyle w:val="Caractresdenotedebasdepage"/>
        </w:rPr>
        <w:footnoteRef/>
      </w:r>
      <w:r>
        <w:rPr>
          <w:i/>
          <w:iCs/>
        </w:rPr>
        <w:t xml:space="preserve"> « Monsieur le Maire explique qu’il a été sollicité par la société ENERTRAG (constructeur d’éoliennes) afin d’obtenir les coordonnées téléphoniques des conseillers municipaux pour une rencontre individuelle à leur domicile. L’ensemble du Conseil Municipal refuse la communication des informations demandées et refuse également une visite individuelle à leur domicile et charge Monsieur le Maire d’en informer la société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792B42"/>
    <w:multiLevelType w:val="multilevel"/>
    <w:tmpl w:val="5F2EE0F6"/>
    <w:lvl w:ilvl="0">
      <w:start w:val="1"/>
      <w:numFmt w:val="bullet"/>
      <w:lvlText w:val="►"/>
      <w:lvlJc w:val="left"/>
      <w:pPr>
        <w:tabs>
          <w:tab w:val="num" w:pos="720"/>
        </w:tabs>
        <w:ind w:left="720" w:hanging="360"/>
      </w:pPr>
      <w:rPr>
        <w:rFonts w:ascii="OpenSymbol" w:hAnsi="OpenSymbol" w:cs="Open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OpenSymbol" w:hAnsi="OpenSymbol" w:cs="Open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 w15:restartNumberingAfterBreak="0">
    <w:nsid w:val="309801DB"/>
    <w:multiLevelType w:val="multilevel"/>
    <w:tmpl w:val="DAB26F4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4C54658C"/>
    <w:multiLevelType w:val="multilevel"/>
    <w:tmpl w:val="E9F4D78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 w15:restartNumberingAfterBreak="0">
    <w:nsid w:val="5A7F0C39"/>
    <w:multiLevelType w:val="multilevel"/>
    <w:tmpl w:val="3F4CC71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2086563166">
    <w:abstractNumId w:val="3"/>
  </w:num>
  <w:num w:numId="2" w16cid:durableId="1284650211">
    <w:abstractNumId w:val="0"/>
  </w:num>
  <w:num w:numId="3" w16cid:durableId="1564872620">
    <w:abstractNumId w:val="2"/>
  </w:num>
  <w:num w:numId="4" w16cid:durableId="134225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67C"/>
    <w:rsid w:val="000B65C9"/>
    <w:rsid w:val="00133C0D"/>
    <w:rsid w:val="00196A38"/>
    <w:rsid w:val="001C2B17"/>
    <w:rsid w:val="001E667C"/>
    <w:rsid w:val="00213FA9"/>
    <w:rsid w:val="00280AE1"/>
    <w:rsid w:val="00480C81"/>
    <w:rsid w:val="004C3944"/>
    <w:rsid w:val="006D0159"/>
    <w:rsid w:val="00757A5F"/>
    <w:rsid w:val="00983FC2"/>
    <w:rsid w:val="009B3725"/>
    <w:rsid w:val="00A065B9"/>
    <w:rsid w:val="00BB3755"/>
    <w:rsid w:val="00C06573"/>
    <w:rsid w:val="00C70A9C"/>
    <w:rsid w:val="00DD6EFB"/>
    <w:rsid w:val="00DE3625"/>
    <w:rsid w:val="00F66A63"/>
    <w:rsid w:val="00FE2384"/>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357C2"/>
  <w15:docId w15:val="{71F31603-DBCC-4221-BC76-50DBC7B80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43D"/>
    <w:pPr>
      <w:spacing w:after="160" w:line="259" w:lineRule="auto"/>
    </w:pPr>
  </w:style>
  <w:style w:type="paragraph" w:styleId="Titre1">
    <w:name w:val="heading 1"/>
    <w:basedOn w:val="Normal"/>
    <w:next w:val="Normal"/>
    <w:link w:val="Titre1Car"/>
    <w:uiPriority w:val="9"/>
    <w:qFormat/>
    <w:rsid w:val="00AF12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AF12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AF12AE"/>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AF12AE"/>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F12AE"/>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F12AE"/>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F12AE"/>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F12AE"/>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F12AE"/>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AF12AE"/>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qFormat/>
    <w:rsid w:val="00AF12AE"/>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qFormat/>
    <w:rsid w:val="00AF12AE"/>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qFormat/>
    <w:rsid w:val="00AF12AE"/>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qFormat/>
    <w:rsid w:val="00AF12AE"/>
    <w:rPr>
      <w:rFonts w:eastAsiaTheme="majorEastAsia" w:cstheme="majorBidi"/>
      <w:color w:val="0F4761" w:themeColor="accent1" w:themeShade="BF"/>
    </w:rPr>
  </w:style>
  <w:style w:type="character" w:customStyle="1" w:styleId="Titre6Car">
    <w:name w:val="Titre 6 Car"/>
    <w:basedOn w:val="Policepardfaut"/>
    <w:link w:val="Titre6"/>
    <w:uiPriority w:val="9"/>
    <w:semiHidden/>
    <w:qFormat/>
    <w:rsid w:val="00AF12A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qFormat/>
    <w:rsid w:val="00AF12AE"/>
    <w:rPr>
      <w:rFonts w:eastAsiaTheme="majorEastAsia" w:cstheme="majorBidi"/>
      <w:color w:val="595959" w:themeColor="text1" w:themeTint="A6"/>
    </w:rPr>
  </w:style>
  <w:style w:type="character" w:customStyle="1" w:styleId="Titre8Car">
    <w:name w:val="Titre 8 Car"/>
    <w:basedOn w:val="Policepardfaut"/>
    <w:link w:val="Titre8"/>
    <w:uiPriority w:val="9"/>
    <w:semiHidden/>
    <w:qFormat/>
    <w:rsid w:val="00AF12A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qFormat/>
    <w:rsid w:val="00AF12AE"/>
    <w:rPr>
      <w:rFonts w:eastAsiaTheme="majorEastAsia" w:cstheme="majorBidi"/>
      <w:color w:val="272727" w:themeColor="text1" w:themeTint="D8"/>
    </w:rPr>
  </w:style>
  <w:style w:type="character" w:customStyle="1" w:styleId="TitreCar">
    <w:name w:val="Titre Car"/>
    <w:basedOn w:val="Policepardfaut"/>
    <w:link w:val="Titre"/>
    <w:uiPriority w:val="10"/>
    <w:qFormat/>
    <w:rsid w:val="00AF12AE"/>
    <w:rPr>
      <w:rFonts w:asciiTheme="majorHAnsi" w:eastAsiaTheme="majorEastAsia" w:hAnsiTheme="majorHAnsi" w:cstheme="majorBidi"/>
      <w:spacing w:val="-10"/>
      <w:kern w:val="2"/>
      <w:sz w:val="56"/>
      <w:szCs w:val="56"/>
    </w:rPr>
  </w:style>
  <w:style w:type="character" w:customStyle="1" w:styleId="Sous-titreCar">
    <w:name w:val="Sous-titre Car"/>
    <w:basedOn w:val="Policepardfaut"/>
    <w:link w:val="Sous-titre"/>
    <w:uiPriority w:val="11"/>
    <w:qFormat/>
    <w:rsid w:val="00AF12AE"/>
    <w:rPr>
      <w:rFonts w:eastAsiaTheme="majorEastAsia" w:cstheme="majorBidi"/>
      <w:color w:val="595959" w:themeColor="text1" w:themeTint="A6"/>
      <w:spacing w:val="15"/>
      <w:sz w:val="28"/>
      <w:szCs w:val="28"/>
    </w:rPr>
  </w:style>
  <w:style w:type="character" w:customStyle="1" w:styleId="CitationCar">
    <w:name w:val="Citation Car"/>
    <w:basedOn w:val="Policepardfaut"/>
    <w:link w:val="Citation"/>
    <w:uiPriority w:val="29"/>
    <w:qFormat/>
    <w:rsid w:val="00AF12AE"/>
    <w:rPr>
      <w:i/>
      <w:iCs/>
      <w:color w:val="404040" w:themeColor="text1" w:themeTint="BF"/>
    </w:rPr>
  </w:style>
  <w:style w:type="character" w:styleId="Accentuationintense">
    <w:name w:val="Intense Emphasis"/>
    <w:basedOn w:val="Policepardfaut"/>
    <w:uiPriority w:val="21"/>
    <w:qFormat/>
    <w:rsid w:val="00AF12AE"/>
    <w:rPr>
      <w:i/>
      <w:iCs/>
      <w:color w:val="0F4761" w:themeColor="accent1" w:themeShade="BF"/>
    </w:rPr>
  </w:style>
  <w:style w:type="character" w:customStyle="1" w:styleId="CitationintenseCar">
    <w:name w:val="Citation intense Car"/>
    <w:basedOn w:val="Policepardfaut"/>
    <w:link w:val="Citationintense"/>
    <w:uiPriority w:val="30"/>
    <w:qFormat/>
    <w:rsid w:val="00AF12AE"/>
    <w:rPr>
      <w:i/>
      <w:iCs/>
      <w:color w:val="0F4761" w:themeColor="accent1" w:themeShade="BF"/>
    </w:rPr>
  </w:style>
  <w:style w:type="character" w:styleId="Rfrenceintense">
    <w:name w:val="Intense Reference"/>
    <w:basedOn w:val="Policepardfaut"/>
    <w:uiPriority w:val="32"/>
    <w:qFormat/>
    <w:rsid w:val="00AF12AE"/>
    <w:rPr>
      <w:b/>
      <w:bCs/>
      <w:smallCaps/>
      <w:color w:val="0F4761" w:themeColor="accent1" w:themeShade="BF"/>
      <w:spacing w:val="5"/>
    </w:rPr>
  </w:style>
  <w:style w:type="character" w:customStyle="1" w:styleId="En-tteCar">
    <w:name w:val="En-tête Car"/>
    <w:basedOn w:val="Policepardfaut"/>
    <w:link w:val="En-tte"/>
    <w:uiPriority w:val="99"/>
    <w:qFormat/>
    <w:rsid w:val="00F7501F"/>
  </w:style>
  <w:style w:type="character" w:customStyle="1" w:styleId="PieddepageCar">
    <w:name w:val="Pied de page Car"/>
    <w:basedOn w:val="Policepardfaut"/>
    <w:link w:val="Pieddepage"/>
    <w:uiPriority w:val="99"/>
    <w:qFormat/>
    <w:rsid w:val="00F7501F"/>
  </w:style>
  <w:style w:type="character" w:customStyle="1" w:styleId="NotedebasdepageCar">
    <w:name w:val="Note de bas de page Car"/>
    <w:basedOn w:val="Policepardfaut"/>
    <w:link w:val="Notedebasdepage"/>
    <w:uiPriority w:val="99"/>
    <w:qFormat/>
    <w:rsid w:val="003A3CBE"/>
    <w:rPr>
      <w:sz w:val="20"/>
      <w:szCs w:val="20"/>
    </w:rPr>
  </w:style>
  <w:style w:type="character" w:customStyle="1" w:styleId="Caractresdenotedebasdepageuser">
    <w:name w:val="Caractères de note de bas de page (user)"/>
    <w:basedOn w:val="Policepardfaut"/>
    <w:uiPriority w:val="99"/>
    <w:semiHidden/>
    <w:unhideWhenUsed/>
    <w:qFormat/>
    <w:rsid w:val="003A3CBE"/>
    <w:rPr>
      <w:vertAlign w:val="superscript"/>
    </w:rPr>
  </w:style>
  <w:style w:type="character" w:customStyle="1" w:styleId="Caractresdenotedebasdepage">
    <w:name w:val="Caractères de note de bas de page"/>
    <w:qFormat/>
    <w:rPr>
      <w:vertAlign w:val="superscript"/>
    </w:rPr>
  </w:style>
  <w:style w:type="character" w:styleId="Appelnotedebasdep">
    <w:name w:val="footnote reference"/>
    <w:rPr>
      <w:vertAlign w:val="superscript"/>
    </w:rPr>
  </w:style>
  <w:style w:type="character" w:styleId="Lienhypertexte">
    <w:name w:val="Hyperlink"/>
    <w:basedOn w:val="Policepardfaut"/>
    <w:uiPriority w:val="99"/>
    <w:unhideWhenUsed/>
    <w:rsid w:val="00FB1494"/>
    <w:rPr>
      <w:color w:val="467886" w:themeColor="hyperlink"/>
      <w:u w:val="single"/>
    </w:rPr>
  </w:style>
  <w:style w:type="character" w:styleId="Mentionnonrsolue">
    <w:name w:val="Unresolved Mention"/>
    <w:basedOn w:val="Policepardfaut"/>
    <w:uiPriority w:val="99"/>
    <w:semiHidden/>
    <w:unhideWhenUsed/>
    <w:qFormat/>
    <w:rsid w:val="00FB1494"/>
    <w:rPr>
      <w:color w:val="605E5C"/>
      <w:shd w:val="clear" w:color="auto" w:fill="E1DFDD"/>
    </w:rPr>
  </w:style>
  <w:style w:type="character" w:customStyle="1" w:styleId="Pucesuser">
    <w:name w:val="Puces (user)"/>
    <w:qFormat/>
    <w:rPr>
      <w:rFonts w:ascii="OpenSymbol" w:eastAsia="OpenSymbol" w:hAnsi="OpenSymbol" w:cs="OpenSymbol"/>
    </w:rPr>
  </w:style>
  <w:style w:type="character" w:customStyle="1" w:styleId="Caractresdenotedefin">
    <w:name w:val="Caractères de note de fin"/>
    <w:qFormat/>
    <w:rPr>
      <w:vertAlign w:val="superscript"/>
    </w:rPr>
  </w:style>
  <w:style w:type="character" w:styleId="Appeldenotedefin">
    <w:name w:val="endnote reference"/>
    <w:rPr>
      <w:vertAlign w:val="superscript"/>
    </w:rPr>
  </w:style>
  <w:style w:type="character" w:customStyle="1" w:styleId="Caractresdenotedefinuser">
    <w:name w:val="Caractères de note de fin (user)"/>
    <w:qFormat/>
  </w:style>
  <w:style w:type="character" w:customStyle="1" w:styleId="Caractresdenumrotationuser">
    <w:name w:val="Caractères de numérotation (user)"/>
    <w:qFormat/>
  </w:style>
  <w:style w:type="character" w:customStyle="1" w:styleId="Sautdindexuser">
    <w:name w:val="Saut d'index (user)"/>
    <w:qFormat/>
  </w:style>
  <w:style w:type="character" w:customStyle="1" w:styleId="Sautdindex">
    <w:name w:val="Saut d'index"/>
    <w:qFormat/>
  </w:style>
  <w:style w:type="paragraph" w:styleId="Titre">
    <w:name w:val="Title"/>
    <w:basedOn w:val="Normal"/>
    <w:next w:val="Corpsdetexte"/>
    <w:link w:val="TitreCar"/>
    <w:uiPriority w:val="10"/>
    <w:qFormat/>
    <w:rsid w:val="00AF12AE"/>
    <w:pPr>
      <w:spacing w:after="80" w:line="240" w:lineRule="auto"/>
      <w:contextualSpacing/>
    </w:pPr>
    <w:rPr>
      <w:rFonts w:asciiTheme="majorHAnsi" w:eastAsiaTheme="majorEastAsia" w:hAnsiTheme="majorHAnsi" w:cstheme="majorBidi"/>
      <w:spacing w:val="-10"/>
      <w:sz w:val="56"/>
      <w:szCs w:val="56"/>
    </w:rPr>
  </w:style>
  <w:style w:type="paragraph" w:styleId="Corpsdetexte">
    <w:name w:val="Body Text"/>
    <w:basedOn w:val="Normal"/>
    <w:pPr>
      <w:spacing w:after="140" w:line="276" w:lineRule="auto"/>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Sous-titre">
    <w:name w:val="Subtitle"/>
    <w:basedOn w:val="Normal"/>
    <w:next w:val="Normal"/>
    <w:link w:val="Sous-titreCar"/>
    <w:uiPriority w:val="11"/>
    <w:qFormat/>
    <w:rsid w:val="00AF12A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F12AE"/>
    <w:pPr>
      <w:spacing w:before="160"/>
      <w:jc w:val="center"/>
    </w:pPr>
    <w:rPr>
      <w:i/>
      <w:iCs/>
      <w:color w:val="404040" w:themeColor="text1" w:themeTint="BF"/>
    </w:rPr>
  </w:style>
  <w:style w:type="paragraph" w:styleId="Paragraphedeliste">
    <w:name w:val="List Paragraph"/>
    <w:basedOn w:val="Normal"/>
    <w:uiPriority w:val="34"/>
    <w:qFormat/>
    <w:rsid w:val="00AF12AE"/>
    <w:pPr>
      <w:ind w:left="720"/>
      <w:contextualSpacing/>
    </w:pPr>
  </w:style>
  <w:style w:type="paragraph" w:styleId="Citationintense">
    <w:name w:val="Intense Quote"/>
    <w:basedOn w:val="Normal"/>
    <w:next w:val="Normal"/>
    <w:link w:val="CitationintenseCar"/>
    <w:uiPriority w:val="30"/>
    <w:qFormat/>
    <w:rsid w:val="00AF12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styleId="NormalWeb">
    <w:name w:val="Normal (Web)"/>
    <w:basedOn w:val="Normal"/>
    <w:uiPriority w:val="99"/>
    <w:semiHidden/>
    <w:unhideWhenUsed/>
    <w:qFormat/>
    <w:rsid w:val="00EC6C28"/>
    <w:rPr>
      <w:rFonts w:ascii="Times New Roman" w:hAnsi="Times New Roman" w:cs="Times New Roman"/>
      <w:sz w:val="24"/>
      <w:szCs w:val="24"/>
    </w:rPr>
  </w:style>
  <w:style w:type="paragraph" w:customStyle="1" w:styleId="En-tteetpieddepageuser">
    <w:name w:val="En-tête et pied de page (user)"/>
    <w:basedOn w:val="Normal"/>
    <w:qFormat/>
  </w:style>
  <w:style w:type="paragraph" w:customStyle="1" w:styleId="En-tteetpieddepage">
    <w:name w:val="En-tête et pied de page"/>
    <w:basedOn w:val="Normal"/>
    <w:qFormat/>
  </w:style>
  <w:style w:type="paragraph" w:styleId="En-tte">
    <w:name w:val="header"/>
    <w:basedOn w:val="Normal"/>
    <w:link w:val="En-tteCar"/>
    <w:uiPriority w:val="99"/>
    <w:unhideWhenUsed/>
    <w:rsid w:val="00F7501F"/>
    <w:pPr>
      <w:tabs>
        <w:tab w:val="center" w:pos="4536"/>
        <w:tab w:val="right" w:pos="9072"/>
      </w:tabs>
      <w:spacing w:after="0" w:line="240" w:lineRule="auto"/>
    </w:pPr>
  </w:style>
  <w:style w:type="paragraph" w:styleId="Pieddepage">
    <w:name w:val="footer"/>
    <w:basedOn w:val="Normal"/>
    <w:link w:val="PieddepageCar"/>
    <w:uiPriority w:val="99"/>
    <w:unhideWhenUsed/>
    <w:rsid w:val="00F7501F"/>
    <w:pPr>
      <w:tabs>
        <w:tab w:val="center" w:pos="4536"/>
        <w:tab w:val="right" w:pos="9072"/>
      </w:tabs>
      <w:spacing w:after="0" w:line="240" w:lineRule="auto"/>
    </w:pPr>
  </w:style>
  <w:style w:type="paragraph" w:styleId="Notedebasdepage">
    <w:name w:val="footnote text"/>
    <w:basedOn w:val="Normal"/>
    <w:link w:val="NotedebasdepageCar"/>
    <w:uiPriority w:val="99"/>
    <w:unhideWhenUsed/>
    <w:rsid w:val="003A3CBE"/>
    <w:pPr>
      <w:spacing w:after="0" w:line="240" w:lineRule="auto"/>
    </w:pPr>
    <w:rPr>
      <w:sz w:val="20"/>
      <w:szCs w:val="20"/>
    </w:rPr>
  </w:style>
  <w:style w:type="paragraph" w:styleId="Titreindex">
    <w:name w:val="index heading"/>
    <w:basedOn w:val="Titre"/>
    <w:pPr>
      <w:suppressLineNumbers/>
    </w:pPr>
    <w:rPr>
      <w:b/>
      <w:bCs/>
      <w:sz w:val="32"/>
      <w:szCs w:val="32"/>
    </w:rPr>
  </w:style>
  <w:style w:type="paragraph" w:styleId="En-ttedetabledesmatires">
    <w:name w:val="TOC Heading"/>
    <w:basedOn w:val="Titreindex"/>
    <w:qFormat/>
  </w:style>
  <w:style w:type="paragraph" w:styleId="TM2">
    <w:name w:val="toc 2"/>
    <w:basedOn w:val="Index"/>
    <w:uiPriority w:val="39"/>
    <w:pPr>
      <w:tabs>
        <w:tab w:val="right" w:leader="dot" w:pos="8789"/>
      </w:tabs>
      <w:ind w:left="283"/>
    </w:pPr>
  </w:style>
  <w:style w:type="paragraph" w:styleId="TM3">
    <w:name w:val="toc 3"/>
    <w:basedOn w:val="Index"/>
    <w:uiPriority w:val="39"/>
    <w:pPr>
      <w:tabs>
        <w:tab w:val="right" w:leader="dot" w:pos="8505"/>
      </w:tabs>
      <w:ind w:left="567"/>
    </w:pPr>
  </w:style>
  <w:style w:type="paragraph" w:customStyle="1" w:styleId="Blocdecitationuser">
    <w:name w:val="Bloc de citation (user)"/>
    <w:basedOn w:val="Normal"/>
    <w:qFormat/>
    <w:pPr>
      <w:spacing w:after="283"/>
      <w:ind w:left="567" w:right="567"/>
    </w:pPr>
  </w:style>
  <w:style w:type="paragraph" w:styleId="TM1">
    <w:name w:val="toc 1"/>
    <w:basedOn w:val="Index"/>
    <w:pPr>
      <w:tabs>
        <w:tab w:val="right" w:leader="dot" w:pos="9072"/>
      </w:tabs>
    </w:pPr>
  </w:style>
  <w:style w:type="paragraph" w:customStyle="1" w:styleId="Contenudecadreuser">
    <w:name w:val="Contenu de cadre (user)"/>
    <w:basedOn w:val="Normal"/>
    <w:qFormat/>
  </w:style>
  <w:style w:type="paragraph" w:styleId="TM4">
    <w:name w:val="toc 4"/>
    <w:basedOn w:val="Index"/>
    <w:pPr>
      <w:tabs>
        <w:tab w:val="right" w:leader="dot" w:pos="8222"/>
      </w:tabs>
      <w:ind w:left="850"/>
    </w:pPr>
  </w:style>
  <w:style w:type="numbering" w:customStyle="1" w:styleId="Pasdeliste">
    <w:name w:val="Pas de liste"/>
    <w:uiPriority w:val="99"/>
    <w:semiHidden/>
    <w:unhideWhenUsed/>
    <w:qFormat/>
  </w:style>
  <w:style w:type="numbering" w:customStyle="1" w:styleId="Pasdelisteuser">
    <w:name w:val="Pas de liste (user)"/>
    <w:uiPriority w:val="99"/>
    <w:semiHidden/>
    <w:unhideWhenUsed/>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vienne.gouv.fr/contenu/telechargement/33705/192696/file/Archigny_2022_TramePAC_PLU.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monthoiron.fr/wp-content/uploads/2021/01/02_PLU-MONTHOIRON_RA-1_REGLEMENT_AVANT-APRES_ARRET-DE-PROJET.pdf" TargetMode="External"/><Relationship Id="rId1" Type="http://schemas.openxmlformats.org/officeDocument/2006/relationships/hyperlink" Target="http://www.monthoiron.fr/wp-content/uploads/2021/12/3.RapportEnqu&#234;teMonthoiron.pdf" TargetMode="External"/></Relationships>
</file>

<file path=word/theme/theme1.xml><?xml version="1.0" encoding="utf-8"?>
<a:theme xmlns:a="http://schemas.openxmlformats.org/drawingml/2006/main" name="Thème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8299B-A654-4BC9-B317-7ABBFE354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38</Pages>
  <Words>5842</Words>
  <Characters>30264</Characters>
  <Application>Microsoft Office Word</Application>
  <DocSecurity>0</DocSecurity>
  <Lines>571</Lines>
  <Paragraphs>176</Paragraphs>
  <ScaleCrop>false</ScaleCrop>
  <HeadingPairs>
    <vt:vector size="2" baseType="variant">
      <vt:variant>
        <vt:lpstr>Titre</vt:lpstr>
      </vt:variant>
      <vt:variant>
        <vt:i4>1</vt:i4>
      </vt:variant>
    </vt:vector>
  </HeadingPairs>
  <TitlesOfParts>
    <vt:vector size="1" baseType="lpstr">
      <vt:lpstr>Pour un plu protecteur du patrimoine et DE L’ENVIRONNEMENT D’</vt:lpstr>
    </vt:vector>
  </TitlesOfParts>
  <Company/>
  <LinksUpToDate>false</LinksUpToDate>
  <CharactersWithSpaces>35930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Pour un plu protecteur du patrimoine et DE L’ENVIRONNEMENT D’</dc:title>
  <dc:subject/>
  <dc:creator>Stéphane VAUCLIN</dc:creator>
  <dc:description/>
  <cp:lastModifiedBy>Stéphane VAUCLIN</cp:lastModifiedBy>
  <cp:revision>12</cp:revision>
  <cp:lastPrinted>2025-11-13T03:51:00Z</cp:lastPrinted>
  <dcterms:created xsi:type="dcterms:W3CDTF">2025-11-13T02:43:00Z</dcterms:created>
  <dcterms:modified xsi:type="dcterms:W3CDTF">2025-11-13T14:03:00Z</dcterms:modified>
  <dc:language>fr-FR</dc:language>
</cp:coreProperties>
</file>